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C05" w:rsidRDefault="003E46A3" w:rsidP="00DE3538">
      <w:pPr>
        <w:spacing w:before="120" w:after="120" w:line="320" w:lineRule="atLeast"/>
        <w:rPr>
          <w:rFonts w:ascii="Calibri" w:hAnsi="Calibri"/>
          <w:b/>
          <w:smallCaps/>
          <w:sz w:val="28"/>
          <w:szCs w:val="28"/>
          <w:lang w:val="en-GB"/>
        </w:rPr>
      </w:pPr>
      <w:r>
        <w:rPr>
          <w:rFonts w:ascii="Calibri" w:hAnsi="Calibri"/>
          <w:b/>
          <w:smallCaps/>
          <w:sz w:val="28"/>
          <w:szCs w:val="28"/>
          <w:lang w:val="en-GB"/>
        </w:rPr>
        <w:t xml:space="preserve">A policy framework </w:t>
      </w:r>
      <w:r w:rsidR="00202AFE">
        <w:rPr>
          <w:rFonts w:ascii="Calibri" w:hAnsi="Calibri"/>
          <w:b/>
          <w:smallCaps/>
          <w:sz w:val="28"/>
          <w:szCs w:val="28"/>
          <w:lang w:val="en-GB"/>
        </w:rPr>
        <w:t>on</w:t>
      </w:r>
      <w:r>
        <w:rPr>
          <w:rFonts w:ascii="Calibri" w:hAnsi="Calibri"/>
          <w:b/>
          <w:smallCaps/>
          <w:sz w:val="28"/>
          <w:szCs w:val="28"/>
          <w:lang w:val="en-GB"/>
        </w:rPr>
        <w:t xml:space="preserve"> performance assessment for academic staff</w:t>
      </w:r>
    </w:p>
    <w:p w:rsidR="002A385B" w:rsidRDefault="008C5F72" w:rsidP="00DE3538">
      <w:pPr>
        <w:spacing w:before="120" w:after="120" w:line="320" w:lineRule="atLeast"/>
        <w:rPr>
          <w:rFonts w:ascii="Calibri" w:hAnsi="Calibri"/>
          <w:b/>
          <w:smallCaps/>
          <w:lang w:val="en-GB"/>
        </w:rPr>
      </w:pPr>
      <w:r>
        <w:rPr>
          <w:rFonts w:ascii="Calibri" w:hAnsi="Calibri"/>
          <w:b/>
          <w:smallCaps/>
          <w:lang w:val="en-GB"/>
        </w:rPr>
        <w:t xml:space="preserve">24 </w:t>
      </w:r>
      <w:r w:rsidR="00B22791">
        <w:rPr>
          <w:rFonts w:ascii="Calibri" w:hAnsi="Calibri"/>
          <w:b/>
          <w:smallCaps/>
          <w:lang w:val="en-GB"/>
        </w:rPr>
        <w:t>November</w:t>
      </w:r>
      <w:r w:rsidR="003E46A3">
        <w:rPr>
          <w:rFonts w:ascii="Calibri" w:hAnsi="Calibri"/>
          <w:b/>
          <w:smallCaps/>
          <w:lang w:val="en-GB"/>
        </w:rPr>
        <w:t xml:space="preserve"> 2010</w:t>
      </w:r>
    </w:p>
    <w:p w:rsidR="00FA4E69" w:rsidRPr="00FA4E69" w:rsidRDefault="00FA4E69" w:rsidP="00DE3538">
      <w:pPr>
        <w:spacing w:before="120" w:after="120" w:line="320" w:lineRule="atLeast"/>
        <w:rPr>
          <w:rFonts w:ascii="Calibri" w:hAnsi="Calibri"/>
          <w:b/>
          <w:smallCaps/>
          <w:lang w:val="en-GB"/>
        </w:rPr>
      </w:pPr>
    </w:p>
    <w:p w:rsidR="00E117F3" w:rsidRPr="00CB23DC" w:rsidRDefault="00437C05" w:rsidP="00DE3538">
      <w:pPr>
        <w:numPr>
          <w:ilvl w:val="0"/>
          <w:numId w:val="11"/>
        </w:numPr>
        <w:spacing w:before="120" w:after="120" w:line="320" w:lineRule="atLeast"/>
        <w:jc w:val="both"/>
        <w:rPr>
          <w:rFonts w:ascii="Calibri" w:hAnsi="Calibri"/>
          <w:smallCaps/>
          <w:sz w:val="22"/>
          <w:szCs w:val="22"/>
        </w:rPr>
      </w:pPr>
      <w:r w:rsidRPr="00CB23DC">
        <w:rPr>
          <w:rFonts w:ascii="Calibri" w:hAnsi="Calibri"/>
          <w:b/>
          <w:smallCaps/>
        </w:rPr>
        <w:t>Background</w:t>
      </w:r>
      <w:r w:rsidR="008F7CCB" w:rsidRPr="00CB23DC">
        <w:rPr>
          <w:rFonts w:ascii="Calibri" w:hAnsi="Calibri"/>
          <w:b/>
          <w:smallCaps/>
        </w:rPr>
        <w:t xml:space="preserve"> and </w:t>
      </w:r>
      <w:r w:rsidR="00E117F3" w:rsidRPr="00CB23DC">
        <w:rPr>
          <w:rFonts w:ascii="Calibri" w:hAnsi="Calibri"/>
          <w:b/>
          <w:smallCaps/>
        </w:rPr>
        <w:t>Overview</w:t>
      </w:r>
    </w:p>
    <w:p w:rsidR="00E117F3" w:rsidRPr="00DE3538" w:rsidRDefault="00437C05" w:rsidP="004D178A">
      <w:pPr>
        <w:spacing w:before="120" w:after="120" w:line="320" w:lineRule="atLeast"/>
        <w:jc w:val="both"/>
        <w:rPr>
          <w:rFonts w:ascii="Calibri" w:hAnsi="Calibri"/>
          <w:sz w:val="22"/>
          <w:szCs w:val="22"/>
        </w:rPr>
      </w:pPr>
      <w:r w:rsidRPr="00DE3538">
        <w:rPr>
          <w:rFonts w:ascii="Calibri" w:hAnsi="Calibri"/>
          <w:sz w:val="22"/>
          <w:szCs w:val="22"/>
        </w:rPr>
        <w:t xml:space="preserve">In </w:t>
      </w:r>
      <w:r w:rsidR="00106D56" w:rsidRPr="00DE3538">
        <w:rPr>
          <w:rFonts w:ascii="Calibri" w:hAnsi="Calibri"/>
          <w:sz w:val="22"/>
          <w:szCs w:val="22"/>
        </w:rPr>
        <w:t xml:space="preserve">June </w:t>
      </w:r>
      <w:r w:rsidRPr="00DE3538">
        <w:rPr>
          <w:rFonts w:ascii="Calibri" w:hAnsi="Calibri"/>
          <w:sz w:val="22"/>
          <w:szCs w:val="22"/>
        </w:rPr>
        <w:t>200</w:t>
      </w:r>
      <w:r w:rsidR="00106D56" w:rsidRPr="00DE3538">
        <w:rPr>
          <w:rFonts w:ascii="Calibri" w:hAnsi="Calibri"/>
          <w:sz w:val="22"/>
          <w:szCs w:val="22"/>
        </w:rPr>
        <w:t>3</w:t>
      </w:r>
      <w:r w:rsidRPr="00DE3538">
        <w:rPr>
          <w:rFonts w:ascii="Calibri" w:hAnsi="Calibri"/>
          <w:sz w:val="22"/>
          <w:szCs w:val="22"/>
        </w:rPr>
        <w:t xml:space="preserve"> the </w:t>
      </w:r>
      <w:proofErr w:type="spellStart"/>
      <w:r w:rsidRPr="00DE3538">
        <w:rPr>
          <w:rFonts w:ascii="Calibri" w:hAnsi="Calibri"/>
          <w:sz w:val="22"/>
          <w:szCs w:val="22"/>
        </w:rPr>
        <w:t>UCT</w:t>
      </w:r>
      <w:proofErr w:type="spellEnd"/>
      <w:r w:rsidRPr="00DE3538">
        <w:rPr>
          <w:rFonts w:ascii="Calibri" w:hAnsi="Calibri"/>
          <w:sz w:val="22"/>
          <w:szCs w:val="22"/>
        </w:rPr>
        <w:t xml:space="preserve"> Council approved a new remuneration policy framework</w:t>
      </w:r>
      <w:r w:rsidR="00106D56" w:rsidRPr="00DE3538">
        <w:rPr>
          <w:rFonts w:ascii="Calibri" w:hAnsi="Calibri"/>
          <w:sz w:val="22"/>
          <w:szCs w:val="22"/>
        </w:rPr>
        <w:t xml:space="preserve"> for academic staff</w:t>
      </w:r>
      <w:r w:rsidRPr="00DE3538">
        <w:rPr>
          <w:rFonts w:ascii="Calibri" w:hAnsi="Calibri"/>
          <w:sz w:val="22"/>
          <w:szCs w:val="22"/>
        </w:rPr>
        <w:t xml:space="preserve">. </w:t>
      </w:r>
      <w:r w:rsidR="00E117F3">
        <w:rPr>
          <w:rFonts w:ascii="Calibri" w:hAnsi="Calibri"/>
          <w:sz w:val="22"/>
          <w:szCs w:val="22"/>
        </w:rPr>
        <w:t>The new policy was implemented with effect from January 2004. The change in the approach to performance review was accompanied by a substantial increase in levels of remuneration.</w:t>
      </w:r>
    </w:p>
    <w:p w:rsidR="00437C05" w:rsidRDefault="00437C05" w:rsidP="004D178A">
      <w:pPr>
        <w:pStyle w:val="BodyText"/>
        <w:spacing w:before="120" w:after="120" w:line="320" w:lineRule="atLeast"/>
        <w:rPr>
          <w:rFonts w:ascii="Calibri" w:hAnsi="Calibri"/>
          <w:szCs w:val="22"/>
        </w:rPr>
      </w:pPr>
      <w:r w:rsidRPr="00DE3538">
        <w:rPr>
          <w:rFonts w:ascii="Calibri" w:hAnsi="Calibri"/>
          <w:szCs w:val="22"/>
        </w:rPr>
        <w:t>The performance criteria were reviewed in 2006</w:t>
      </w:r>
      <w:r w:rsidR="00E117F3">
        <w:rPr>
          <w:rFonts w:ascii="Calibri" w:hAnsi="Calibri"/>
          <w:szCs w:val="22"/>
        </w:rPr>
        <w:t xml:space="preserve"> </w:t>
      </w:r>
      <w:r w:rsidR="001D6473">
        <w:rPr>
          <w:rFonts w:ascii="Calibri" w:hAnsi="Calibri"/>
          <w:szCs w:val="22"/>
        </w:rPr>
        <w:t>and change</w:t>
      </w:r>
      <w:r w:rsidR="004D178A">
        <w:rPr>
          <w:rFonts w:ascii="Calibri" w:hAnsi="Calibri"/>
          <w:szCs w:val="22"/>
        </w:rPr>
        <w:t>s</w:t>
      </w:r>
      <w:r w:rsidR="001D6473">
        <w:rPr>
          <w:rFonts w:ascii="Calibri" w:hAnsi="Calibri"/>
          <w:szCs w:val="22"/>
        </w:rPr>
        <w:t xml:space="preserve"> directed at making the process more objective, effective and transparent were implemented. A</w:t>
      </w:r>
      <w:r w:rsidRPr="00DE3538">
        <w:rPr>
          <w:rFonts w:ascii="Calibri" w:hAnsi="Calibri"/>
          <w:szCs w:val="22"/>
        </w:rPr>
        <w:t xml:space="preserve"> revised set of criteria came into effect in January 2007.</w:t>
      </w:r>
    </w:p>
    <w:p w:rsidR="00891D4A" w:rsidRPr="00891D4A" w:rsidRDefault="00202AFE" w:rsidP="00891D4A">
      <w:pPr>
        <w:pStyle w:val="BodyText"/>
        <w:spacing w:before="120" w:after="120" w:line="320" w:lineRule="atLeast"/>
        <w:rPr>
          <w:rFonts w:ascii="Calibri" w:hAnsi="Calibri"/>
          <w:b/>
          <w:smallCaps/>
          <w:sz w:val="24"/>
          <w:lang w:val="en-GB"/>
        </w:rPr>
      </w:pPr>
      <w:r>
        <w:rPr>
          <w:rFonts w:ascii="Calibri" w:hAnsi="Calibri"/>
          <w:szCs w:val="22"/>
          <w:lang w:val="en-GB"/>
        </w:rPr>
        <w:t xml:space="preserve">Council in 2008 proposed that the extant remuneration policy be reviewed, and a task team was constituted for this purpose. </w:t>
      </w:r>
      <w:r w:rsidR="00891D4A" w:rsidRPr="00DE3538">
        <w:rPr>
          <w:rFonts w:ascii="Calibri" w:hAnsi="Calibri"/>
          <w:szCs w:val="22"/>
          <w:lang w:val="en-GB"/>
        </w:rPr>
        <w:t xml:space="preserve">The </w:t>
      </w:r>
      <w:r w:rsidR="00226209">
        <w:rPr>
          <w:rFonts w:ascii="Calibri" w:hAnsi="Calibri"/>
          <w:szCs w:val="22"/>
          <w:lang w:val="en-GB"/>
        </w:rPr>
        <w:t xml:space="preserve">brief of the </w:t>
      </w:r>
      <w:r w:rsidR="00891D4A" w:rsidRPr="00DE3538">
        <w:rPr>
          <w:rFonts w:ascii="Calibri" w:hAnsi="Calibri"/>
          <w:szCs w:val="22"/>
          <w:lang w:val="en-GB"/>
        </w:rPr>
        <w:t>Review Task Team</w:t>
      </w:r>
      <w:r w:rsidR="00226209">
        <w:rPr>
          <w:rFonts w:ascii="Calibri" w:hAnsi="Calibri"/>
          <w:szCs w:val="22"/>
          <w:lang w:val="en-GB"/>
        </w:rPr>
        <w:t xml:space="preserve">, </w:t>
      </w:r>
      <w:r w:rsidR="00891D4A" w:rsidRPr="00DE3538">
        <w:rPr>
          <w:rFonts w:ascii="Calibri" w:hAnsi="Calibri"/>
          <w:szCs w:val="22"/>
          <w:lang w:val="en-GB"/>
        </w:rPr>
        <w:t xml:space="preserve">a management advisory body </w:t>
      </w:r>
      <w:r w:rsidR="00226209">
        <w:rPr>
          <w:rFonts w:ascii="Calibri" w:hAnsi="Calibri"/>
          <w:szCs w:val="22"/>
          <w:lang w:val="en-GB"/>
        </w:rPr>
        <w:t xml:space="preserve">reporting to the Vice-Chancellor, was </w:t>
      </w:r>
      <w:r w:rsidR="00891D4A" w:rsidRPr="00DE3538">
        <w:rPr>
          <w:rFonts w:ascii="Calibri" w:hAnsi="Calibri"/>
          <w:szCs w:val="22"/>
          <w:lang w:val="en-GB"/>
        </w:rPr>
        <w:t>to consult on and review the efficacy of the current academic remuneration system, referred to colloquially as the rate for job (</w:t>
      </w:r>
      <w:proofErr w:type="spellStart"/>
      <w:r w:rsidR="00891D4A" w:rsidRPr="00DE3538">
        <w:rPr>
          <w:rFonts w:ascii="Calibri" w:hAnsi="Calibri"/>
          <w:szCs w:val="22"/>
          <w:lang w:val="en-GB"/>
        </w:rPr>
        <w:t>RFJ</w:t>
      </w:r>
      <w:proofErr w:type="spellEnd"/>
      <w:r w:rsidR="00891D4A" w:rsidRPr="00DE3538">
        <w:rPr>
          <w:rFonts w:ascii="Calibri" w:hAnsi="Calibri"/>
          <w:szCs w:val="22"/>
          <w:lang w:val="en-GB"/>
        </w:rPr>
        <w:t xml:space="preserve">) system, and on the basis of this review to make recommendations with </w:t>
      </w:r>
      <w:r w:rsidR="00891D4A">
        <w:rPr>
          <w:rFonts w:ascii="Calibri" w:hAnsi="Calibri"/>
          <w:szCs w:val="22"/>
          <w:lang w:val="en-GB"/>
        </w:rPr>
        <w:t xml:space="preserve">particular </w:t>
      </w:r>
      <w:r w:rsidR="00891D4A" w:rsidRPr="00DE3538">
        <w:rPr>
          <w:rFonts w:ascii="Calibri" w:hAnsi="Calibri"/>
          <w:szCs w:val="22"/>
          <w:lang w:val="en-GB"/>
        </w:rPr>
        <w:t>reference to</w:t>
      </w:r>
    </w:p>
    <w:p w:rsidR="00891D4A" w:rsidRPr="006109A1" w:rsidRDefault="00891D4A" w:rsidP="00891D4A">
      <w:pPr>
        <w:numPr>
          <w:ilvl w:val="0"/>
          <w:numId w:val="22"/>
        </w:numPr>
        <w:spacing w:before="120" w:after="120" w:line="320" w:lineRule="atLeast"/>
        <w:jc w:val="both"/>
        <w:rPr>
          <w:rFonts w:ascii="Calibri" w:hAnsi="Calibri"/>
          <w:sz w:val="22"/>
          <w:szCs w:val="22"/>
          <w:lang w:eastAsia="en-GB"/>
        </w:rPr>
      </w:pPr>
      <w:r w:rsidRPr="00226209">
        <w:rPr>
          <w:rFonts w:ascii="Calibri" w:hAnsi="Calibri"/>
          <w:i/>
          <w:sz w:val="22"/>
          <w:szCs w:val="22"/>
          <w:lang w:val="en-GB"/>
        </w:rPr>
        <w:t xml:space="preserve">assessment of performance: </w:t>
      </w:r>
      <w:r w:rsidRPr="006109A1">
        <w:rPr>
          <w:rFonts w:ascii="Calibri" w:hAnsi="Calibri"/>
          <w:sz w:val="22"/>
          <w:szCs w:val="22"/>
          <w:lang w:val="en-GB"/>
        </w:rPr>
        <w:t xml:space="preserve">in particular, criteria for assessment, and alignment of these criteria with the ad hominem promotion system; and the process of assessment, including the means for determining remuneration levels, and communication  </w:t>
      </w:r>
      <w:r w:rsidRPr="006109A1">
        <w:rPr>
          <w:rFonts w:ascii="Calibri" w:hAnsi="Calibri"/>
          <w:sz w:val="22"/>
          <w:szCs w:val="22"/>
          <w:lang w:eastAsia="en-GB"/>
        </w:rPr>
        <w:t>between heads of department, deans and staff members</w:t>
      </w:r>
    </w:p>
    <w:p w:rsidR="00891D4A" w:rsidRPr="006109A1" w:rsidRDefault="00891D4A" w:rsidP="00891D4A">
      <w:pPr>
        <w:pStyle w:val="ListParagraph"/>
        <w:numPr>
          <w:ilvl w:val="0"/>
          <w:numId w:val="22"/>
        </w:numPr>
        <w:spacing w:before="120" w:after="120" w:line="320" w:lineRule="atLeast"/>
        <w:jc w:val="both"/>
        <w:rPr>
          <w:rFonts w:ascii="Calibri" w:hAnsi="Calibri"/>
          <w:b/>
          <w:sz w:val="22"/>
          <w:szCs w:val="22"/>
          <w:lang w:val="en-GB"/>
        </w:rPr>
      </w:pPr>
      <w:r w:rsidRPr="00226209">
        <w:rPr>
          <w:rFonts w:ascii="Calibri" w:hAnsi="Calibri"/>
          <w:i/>
          <w:sz w:val="22"/>
          <w:szCs w:val="22"/>
          <w:lang w:eastAsia="en-GB"/>
        </w:rPr>
        <w:t>reward systems:</w:t>
      </w:r>
      <w:r w:rsidRPr="006109A1">
        <w:rPr>
          <w:rFonts w:ascii="Calibri" w:hAnsi="Calibri"/>
          <w:sz w:val="22"/>
          <w:szCs w:val="22"/>
          <w:lang w:eastAsia="en-GB"/>
        </w:rPr>
        <w:t xml:space="preserve"> in particular, </w:t>
      </w:r>
      <w:r w:rsidRPr="006109A1">
        <w:rPr>
          <w:rFonts w:ascii="Calibri" w:hAnsi="Calibri"/>
          <w:sz w:val="22"/>
          <w:szCs w:val="22"/>
          <w:lang w:val="en-GB"/>
        </w:rPr>
        <w:t xml:space="preserve">the market positioning and alignment of salaries, including considerations as to which market, and which position in that market, would be appropriate; whether to make use of a range, notches, or a single rate; provision for payment on grounds of scarcity, and the criteria for determining such payments; considerations of cost and their relationship to value and effectiveness; and the link between reward structures and desired performance, and the nature of such rewards </w:t>
      </w:r>
    </w:p>
    <w:p w:rsidR="00891D4A" w:rsidRDefault="00226209" w:rsidP="00891D4A">
      <w:pPr>
        <w:spacing w:before="120" w:after="120" w:line="320" w:lineRule="atLeast"/>
        <w:jc w:val="both"/>
        <w:rPr>
          <w:rFonts w:ascii="Calibri" w:hAnsi="Calibri"/>
          <w:sz w:val="22"/>
          <w:szCs w:val="22"/>
          <w:lang w:val="en-GB"/>
        </w:rPr>
      </w:pPr>
      <w:r>
        <w:rPr>
          <w:rFonts w:ascii="Calibri" w:hAnsi="Calibri"/>
          <w:sz w:val="22"/>
          <w:szCs w:val="22"/>
          <w:lang w:val="en-GB"/>
        </w:rPr>
        <w:t>The task team comprised</w:t>
      </w:r>
      <w:r w:rsidR="00891D4A" w:rsidRPr="00DE3538">
        <w:rPr>
          <w:rFonts w:ascii="Calibri" w:hAnsi="Calibri"/>
          <w:sz w:val="22"/>
          <w:szCs w:val="22"/>
          <w:lang w:val="en-GB"/>
        </w:rPr>
        <w:t xml:space="preserve"> two representatives from each faculty, including </w:t>
      </w:r>
      <w:proofErr w:type="spellStart"/>
      <w:r w:rsidR="00891D4A" w:rsidRPr="00DE3538">
        <w:rPr>
          <w:rFonts w:ascii="Calibri" w:hAnsi="Calibri"/>
          <w:sz w:val="22"/>
          <w:szCs w:val="22"/>
          <w:lang w:val="en-GB"/>
        </w:rPr>
        <w:t>CHED</w:t>
      </w:r>
      <w:proofErr w:type="spellEnd"/>
      <w:r w:rsidR="00891D4A" w:rsidRPr="00DE3538">
        <w:rPr>
          <w:rFonts w:ascii="Calibri" w:hAnsi="Calibri"/>
          <w:sz w:val="22"/>
          <w:szCs w:val="22"/>
          <w:lang w:val="en-GB"/>
        </w:rPr>
        <w:t xml:space="preserve">, the Executive Director for Human Resources, the Human Resources staff member responsible for conditions of service, a representative of the Deans, and the Deputy Vice-Chancellor responsible for academic matters. </w:t>
      </w:r>
    </w:p>
    <w:p w:rsidR="00891D4A" w:rsidRDefault="00891D4A" w:rsidP="00891D4A">
      <w:pPr>
        <w:spacing w:before="120" w:after="120" w:line="320" w:lineRule="atLeast"/>
        <w:jc w:val="both"/>
        <w:rPr>
          <w:rFonts w:ascii="Calibri" w:hAnsi="Calibri"/>
          <w:sz w:val="22"/>
          <w:szCs w:val="22"/>
          <w:lang w:val="en-GB"/>
        </w:rPr>
      </w:pPr>
      <w:r>
        <w:rPr>
          <w:rFonts w:ascii="Calibri" w:hAnsi="Calibri"/>
          <w:sz w:val="22"/>
          <w:szCs w:val="22"/>
          <w:lang w:val="en-GB"/>
        </w:rPr>
        <w:t>The Review Task Team submitted a final report to the Vice-Chancellor in October 2009. Following consultations with deans, the Vice-Chancellor put the following recommendat</w:t>
      </w:r>
      <w:r w:rsidR="00925241">
        <w:rPr>
          <w:rFonts w:ascii="Calibri" w:hAnsi="Calibri"/>
          <w:sz w:val="22"/>
          <w:szCs w:val="22"/>
          <w:lang w:val="en-GB"/>
        </w:rPr>
        <w:t>ions to Senate at its March 2010</w:t>
      </w:r>
      <w:r>
        <w:rPr>
          <w:rFonts w:ascii="Calibri" w:hAnsi="Calibri"/>
          <w:sz w:val="22"/>
          <w:szCs w:val="22"/>
          <w:lang w:val="en-GB"/>
        </w:rPr>
        <w:t xml:space="preserve"> meeting:</w:t>
      </w:r>
    </w:p>
    <w:p w:rsidR="00891D4A" w:rsidRPr="00891D4A" w:rsidRDefault="00891D4A" w:rsidP="00891D4A">
      <w:pPr>
        <w:pStyle w:val="ListParagraph"/>
        <w:numPr>
          <w:ilvl w:val="0"/>
          <w:numId w:val="32"/>
        </w:numPr>
        <w:spacing w:before="120" w:after="120" w:line="320" w:lineRule="atLeast"/>
        <w:jc w:val="both"/>
        <w:rPr>
          <w:rFonts w:ascii="Calibri" w:hAnsi="Calibri"/>
          <w:sz w:val="22"/>
          <w:szCs w:val="22"/>
          <w:lang w:val="en-GB"/>
        </w:rPr>
      </w:pPr>
      <w:r w:rsidRPr="00891D4A">
        <w:rPr>
          <w:rFonts w:ascii="Calibri" w:hAnsi="Calibri"/>
          <w:sz w:val="22"/>
          <w:szCs w:val="22"/>
          <w:lang w:val="en-GB"/>
        </w:rPr>
        <w:t>t</w:t>
      </w:r>
      <w:r w:rsidR="008A6EB5">
        <w:rPr>
          <w:rFonts w:ascii="Calibri" w:hAnsi="Calibri"/>
          <w:sz w:val="22"/>
          <w:szCs w:val="22"/>
          <w:lang w:val="en-GB"/>
        </w:rPr>
        <w:t>hat, rather than requesting</w:t>
      </w:r>
      <w:r w:rsidRPr="00891D4A">
        <w:rPr>
          <w:rFonts w:ascii="Calibri" w:hAnsi="Calibri"/>
          <w:sz w:val="22"/>
          <w:szCs w:val="22"/>
          <w:lang w:val="en-GB"/>
        </w:rPr>
        <w:t xml:space="preserve"> Senate </w:t>
      </w:r>
      <w:r w:rsidR="008A6EB5">
        <w:rPr>
          <w:rFonts w:ascii="Calibri" w:hAnsi="Calibri"/>
          <w:sz w:val="22"/>
          <w:szCs w:val="22"/>
          <w:lang w:val="en-GB"/>
        </w:rPr>
        <w:t xml:space="preserve">to </w:t>
      </w:r>
      <w:r w:rsidRPr="00891D4A">
        <w:rPr>
          <w:rFonts w:ascii="Calibri" w:hAnsi="Calibri"/>
          <w:sz w:val="22"/>
          <w:szCs w:val="22"/>
          <w:lang w:val="en-GB"/>
        </w:rPr>
        <w:t xml:space="preserve">approve a set of generic performance criteria, with faculty-specific criteria to be developed </w:t>
      </w:r>
      <w:r w:rsidR="00226209">
        <w:rPr>
          <w:rFonts w:ascii="Calibri" w:hAnsi="Calibri"/>
          <w:sz w:val="22"/>
          <w:szCs w:val="22"/>
          <w:lang w:val="en-GB"/>
        </w:rPr>
        <w:t>at a later stage</w:t>
      </w:r>
      <w:r w:rsidRPr="00891D4A">
        <w:rPr>
          <w:rFonts w:ascii="Calibri" w:hAnsi="Calibri"/>
          <w:sz w:val="22"/>
          <w:szCs w:val="22"/>
          <w:lang w:val="en-GB"/>
        </w:rPr>
        <w:t>, faculty boards develop faculty-specific performance criteria for incorporation into a final proposal to be considered by Senate</w:t>
      </w:r>
      <w:r w:rsidR="00226209">
        <w:rPr>
          <w:rFonts w:ascii="Calibri" w:hAnsi="Calibri"/>
          <w:sz w:val="22"/>
          <w:szCs w:val="22"/>
          <w:lang w:val="en-GB"/>
        </w:rPr>
        <w:t xml:space="preserve">; </w:t>
      </w:r>
    </w:p>
    <w:p w:rsidR="00226209" w:rsidRPr="008A6EB5" w:rsidRDefault="00891D4A" w:rsidP="008A6EB5">
      <w:pPr>
        <w:pStyle w:val="ListParagraph"/>
        <w:numPr>
          <w:ilvl w:val="0"/>
          <w:numId w:val="32"/>
        </w:numPr>
        <w:spacing w:before="120" w:after="120" w:line="320" w:lineRule="atLeast"/>
        <w:jc w:val="both"/>
        <w:rPr>
          <w:rFonts w:ascii="Calibri" w:hAnsi="Calibri"/>
          <w:sz w:val="22"/>
          <w:szCs w:val="22"/>
          <w:lang w:val="en-GB"/>
        </w:rPr>
      </w:pPr>
      <w:r>
        <w:rPr>
          <w:rFonts w:ascii="Calibri" w:hAnsi="Calibri"/>
          <w:sz w:val="22"/>
          <w:szCs w:val="22"/>
          <w:lang w:val="en-GB"/>
        </w:rPr>
        <w:t xml:space="preserve">that </w:t>
      </w:r>
      <w:r w:rsidR="00226209">
        <w:rPr>
          <w:rFonts w:ascii="Calibri" w:hAnsi="Calibri"/>
          <w:sz w:val="22"/>
          <w:szCs w:val="22"/>
          <w:lang w:val="en-GB"/>
        </w:rPr>
        <w:t>t</w:t>
      </w:r>
      <w:r>
        <w:rPr>
          <w:rFonts w:ascii="Calibri" w:hAnsi="Calibri"/>
          <w:sz w:val="22"/>
          <w:szCs w:val="22"/>
          <w:lang w:val="en-GB"/>
        </w:rPr>
        <w:t>hose sections of the report dealing with remuneration not be considered at this stage as they would form part of a parallel p</w:t>
      </w:r>
      <w:r w:rsidR="00226209">
        <w:rPr>
          <w:rFonts w:ascii="Calibri" w:hAnsi="Calibri"/>
          <w:sz w:val="22"/>
          <w:szCs w:val="22"/>
          <w:lang w:val="en-GB"/>
        </w:rPr>
        <w:t>rocess of consultation and negotiation with individuals and the Academics’ Union.</w:t>
      </w:r>
    </w:p>
    <w:p w:rsidR="00CA3B2E" w:rsidRDefault="008D7ABF" w:rsidP="00CA3B2E">
      <w:pPr>
        <w:spacing w:before="120" w:after="120" w:line="320" w:lineRule="atLeast"/>
        <w:ind w:left="48"/>
        <w:jc w:val="both"/>
        <w:rPr>
          <w:rFonts w:ascii="Calibri" w:hAnsi="Calibri"/>
          <w:sz w:val="22"/>
          <w:szCs w:val="22"/>
          <w:lang w:val="en-GB"/>
        </w:rPr>
      </w:pPr>
      <w:r>
        <w:rPr>
          <w:rFonts w:ascii="Calibri" w:hAnsi="Calibri"/>
          <w:sz w:val="22"/>
          <w:szCs w:val="22"/>
          <w:lang w:val="en-GB"/>
        </w:rPr>
        <w:t>It was accepted that aspects of pay policy are not a matter for Senate, but that Senate has an interest in such matters</w:t>
      </w:r>
      <w:r w:rsidR="008A6EB5">
        <w:rPr>
          <w:rFonts w:ascii="Calibri" w:hAnsi="Calibri"/>
          <w:sz w:val="22"/>
          <w:szCs w:val="22"/>
          <w:lang w:val="en-GB"/>
        </w:rPr>
        <w:t>.</w:t>
      </w:r>
      <w:r>
        <w:rPr>
          <w:rFonts w:ascii="Calibri" w:hAnsi="Calibri"/>
          <w:sz w:val="22"/>
          <w:szCs w:val="22"/>
          <w:lang w:val="en-GB"/>
        </w:rPr>
        <w:t xml:space="preserve"> </w:t>
      </w:r>
      <w:r w:rsidR="00226209">
        <w:rPr>
          <w:rFonts w:ascii="Calibri" w:hAnsi="Calibri"/>
          <w:sz w:val="22"/>
          <w:szCs w:val="22"/>
          <w:lang w:val="en-GB"/>
        </w:rPr>
        <w:t>The</w:t>
      </w:r>
      <w:r>
        <w:rPr>
          <w:rFonts w:ascii="Calibri" w:hAnsi="Calibri"/>
          <w:sz w:val="22"/>
          <w:szCs w:val="22"/>
          <w:lang w:val="en-GB"/>
        </w:rPr>
        <w:t xml:space="preserve"> Vice-Chancellor’s </w:t>
      </w:r>
      <w:r w:rsidR="00226209">
        <w:rPr>
          <w:rFonts w:ascii="Calibri" w:hAnsi="Calibri"/>
          <w:sz w:val="22"/>
          <w:szCs w:val="22"/>
          <w:lang w:val="en-GB"/>
        </w:rPr>
        <w:t>recomme</w:t>
      </w:r>
      <w:r>
        <w:rPr>
          <w:rFonts w:ascii="Calibri" w:hAnsi="Calibri"/>
          <w:sz w:val="22"/>
          <w:szCs w:val="22"/>
          <w:lang w:val="en-GB"/>
        </w:rPr>
        <w:t>ndations were therefore accepted</w:t>
      </w:r>
      <w:r w:rsidR="00226209">
        <w:rPr>
          <w:rFonts w:ascii="Calibri" w:hAnsi="Calibri"/>
          <w:sz w:val="22"/>
          <w:szCs w:val="22"/>
          <w:lang w:val="en-GB"/>
        </w:rPr>
        <w:t xml:space="preserve">, with the </w:t>
      </w:r>
      <w:r w:rsidR="00CA3B2E">
        <w:rPr>
          <w:rFonts w:ascii="Calibri" w:hAnsi="Calibri"/>
          <w:sz w:val="22"/>
          <w:szCs w:val="22"/>
          <w:lang w:val="en-GB"/>
        </w:rPr>
        <w:t xml:space="preserve">proviso that ultimately </w:t>
      </w:r>
      <w:proofErr w:type="gramStart"/>
      <w:r w:rsidR="00CA3B2E">
        <w:rPr>
          <w:rFonts w:ascii="Calibri" w:hAnsi="Calibri"/>
          <w:sz w:val="22"/>
          <w:szCs w:val="22"/>
          <w:lang w:val="en-GB"/>
        </w:rPr>
        <w:t xml:space="preserve">the </w:t>
      </w:r>
      <w:r w:rsidR="00226209">
        <w:rPr>
          <w:rFonts w:ascii="Calibri" w:hAnsi="Calibri"/>
          <w:sz w:val="22"/>
          <w:szCs w:val="22"/>
          <w:lang w:val="en-GB"/>
        </w:rPr>
        <w:t xml:space="preserve"> set</w:t>
      </w:r>
      <w:proofErr w:type="gramEnd"/>
      <w:r w:rsidR="00226209">
        <w:rPr>
          <w:rFonts w:ascii="Calibri" w:hAnsi="Calibri"/>
          <w:sz w:val="22"/>
          <w:szCs w:val="22"/>
          <w:lang w:val="en-GB"/>
        </w:rPr>
        <w:t xml:space="preserve"> of recommendations</w:t>
      </w:r>
      <w:r w:rsidR="00CA3B2E">
        <w:rPr>
          <w:rFonts w:ascii="Calibri" w:hAnsi="Calibri"/>
          <w:sz w:val="22"/>
          <w:szCs w:val="22"/>
          <w:lang w:val="en-GB"/>
        </w:rPr>
        <w:t xml:space="preserve"> on performance assessments </w:t>
      </w:r>
      <w:r w:rsidR="00226209">
        <w:rPr>
          <w:rFonts w:ascii="Calibri" w:hAnsi="Calibri"/>
          <w:sz w:val="22"/>
          <w:szCs w:val="22"/>
          <w:lang w:val="en-GB"/>
        </w:rPr>
        <w:t xml:space="preserve">be </w:t>
      </w:r>
      <w:r>
        <w:rPr>
          <w:rFonts w:ascii="Calibri" w:hAnsi="Calibri"/>
          <w:sz w:val="22"/>
          <w:szCs w:val="22"/>
          <w:lang w:val="en-GB"/>
        </w:rPr>
        <w:t>brought to Senate</w:t>
      </w:r>
      <w:r w:rsidR="00CA3B2E">
        <w:rPr>
          <w:rFonts w:ascii="Calibri" w:hAnsi="Calibri"/>
          <w:sz w:val="22"/>
          <w:szCs w:val="22"/>
          <w:lang w:val="en-GB"/>
        </w:rPr>
        <w:t xml:space="preserve"> for its adoption, but only after progress is made in determining an agreed basis for academic salaries.</w:t>
      </w:r>
    </w:p>
    <w:p w:rsidR="009B43A4" w:rsidRDefault="00A61380" w:rsidP="00CA3B2E">
      <w:pPr>
        <w:spacing w:before="120" w:after="120" w:line="320" w:lineRule="atLeast"/>
        <w:ind w:left="48"/>
        <w:jc w:val="both"/>
        <w:rPr>
          <w:rFonts w:ascii="Calibri" w:hAnsi="Calibri"/>
          <w:color w:val="FF0000"/>
          <w:sz w:val="22"/>
          <w:szCs w:val="22"/>
          <w:lang w:val="en-GB"/>
        </w:rPr>
      </w:pPr>
      <w:r>
        <w:rPr>
          <w:rFonts w:ascii="Calibri" w:hAnsi="Calibri"/>
          <w:sz w:val="22"/>
          <w:szCs w:val="22"/>
          <w:lang w:val="en-GB"/>
        </w:rPr>
        <w:t>At the meeting in August 2010 the SEC considered the draft policy framework and identified the need for further work before it could be submitted to Senate.  In particular it asked that a shared understanding be reached as to what the expected level of performance should be and following that what reward systems would be</w:t>
      </w:r>
      <w:r w:rsidR="00B22791">
        <w:rPr>
          <w:rFonts w:ascii="Calibri" w:hAnsi="Calibri"/>
          <w:sz w:val="22"/>
          <w:szCs w:val="22"/>
          <w:lang w:val="en-GB"/>
        </w:rPr>
        <w:t xml:space="preserve"> put</w:t>
      </w:r>
      <w:r>
        <w:rPr>
          <w:rFonts w:ascii="Calibri" w:hAnsi="Calibri"/>
          <w:sz w:val="22"/>
          <w:szCs w:val="22"/>
          <w:lang w:val="en-GB"/>
        </w:rPr>
        <w:t xml:space="preserve"> in place for excellent performance.</w:t>
      </w:r>
    </w:p>
    <w:p w:rsidR="009D73AE" w:rsidRDefault="00226209" w:rsidP="00226209">
      <w:pPr>
        <w:spacing w:before="120" w:after="120" w:line="320" w:lineRule="atLeast"/>
        <w:ind w:left="48"/>
        <w:jc w:val="both"/>
        <w:rPr>
          <w:rFonts w:ascii="Calibri" w:hAnsi="Calibri"/>
          <w:sz w:val="22"/>
          <w:szCs w:val="22"/>
          <w:lang w:val="en-GB"/>
        </w:rPr>
      </w:pPr>
      <w:r>
        <w:rPr>
          <w:rFonts w:ascii="Calibri" w:hAnsi="Calibri"/>
          <w:sz w:val="22"/>
          <w:szCs w:val="22"/>
          <w:lang w:val="en-GB"/>
        </w:rPr>
        <w:lastRenderedPageBreak/>
        <w:t xml:space="preserve">The purpose of this document is to present the set of recommendations with particular reference to the matter of performance assessment and management, and </w:t>
      </w:r>
      <w:r w:rsidR="00A61380">
        <w:rPr>
          <w:rFonts w:ascii="Calibri" w:hAnsi="Calibri"/>
          <w:sz w:val="22"/>
          <w:szCs w:val="22"/>
          <w:lang w:val="en-GB"/>
        </w:rPr>
        <w:t>a system for reward</w:t>
      </w:r>
      <w:r w:rsidR="00B22791">
        <w:rPr>
          <w:rFonts w:ascii="Calibri" w:hAnsi="Calibri"/>
          <w:sz w:val="22"/>
          <w:szCs w:val="22"/>
          <w:lang w:val="en-GB"/>
        </w:rPr>
        <w:t xml:space="preserve">ing </w:t>
      </w:r>
      <w:r w:rsidR="00A61380">
        <w:rPr>
          <w:rFonts w:ascii="Calibri" w:hAnsi="Calibri"/>
          <w:sz w:val="22"/>
          <w:szCs w:val="22"/>
          <w:lang w:val="en-GB"/>
        </w:rPr>
        <w:t>excellence</w:t>
      </w:r>
      <w:r w:rsidR="00B22791">
        <w:rPr>
          <w:rFonts w:ascii="Calibri" w:hAnsi="Calibri"/>
          <w:sz w:val="22"/>
          <w:szCs w:val="22"/>
          <w:lang w:val="en-GB"/>
        </w:rPr>
        <w:t>,</w:t>
      </w:r>
      <w:r w:rsidR="00A61380">
        <w:rPr>
          <w:rFonts w:ascii="Calibri" w:hAnsi="Calibri"/>
          <w:sz w:val="22"/>
          <w:szCs w:val="22"/>
          <w:lang w:val="en-GB"/>
        </w:rPr>
        <w:t xml:space="preserve"> but </w:t>
      </w:r>
      <w:r>
        <w:rPr>
          <w:rFonts w:ascii="Calibri" w:hAnsi="Calibri"/>
          <w:sz w:val="22"/>
          <w:szCs w:val="22"/>
          <w:lang w:val="en-GB"/>
        </w:rPr>
        <w:t>excluding recommendat</w:t>
      </w:r>
      <w:r w:rsidR="00A619A6">
        <w:rPr>
          <w:rFonts w:ascii="Calibri" w:hAnsi="Calibri"/>
          <w:sz w:val="22"/>
          <w:szCs w:val="22"/>
          <w:lang w:val="en-GB"/>
        </w:rPr>
        <w:t xml:space="preserve">ions pertaining to </w:t>
      </w:r>
      <w:r w:rsidR="00A61380">
        <w:rPr>
          <w:rFonts w:ascii="Calibri" w:hAnsi="Calibri"/>
          <w:sz w:val="22"/>
          <w:szCs w:val="22"/>
          <w:lang w:val="en-GB"/>
        </w:rPr>
        <w:t xml:space="preserve">the </w:t>
      </w:r>
      <w:r w:rsidR="00A619A6">
        <w:rPr>
          <w:rFonts w:ascii="Calibri" w:hAnsi="Calibri"/>
          <w:sz w:val="22"/>
          <w:szCs w:val="22"/>
          <w:lang w:val="en-GB"/>
        </w:rPr>
        <w:t>remuneration</w:t>
      </w:r>
      <w:r w:rsidR="00A61380">
        <w:rPr>
          <w:rFonts w:ascii="Calibri" w:hAnsi="Calibri"/>
          <w:sz w:val="22"/>
          <w:szCs w:val="22"/>
          <w:lang w:val="en-GB"/>
        </w:rPr>
        <w:t xml:space="preserve"> structure </w:t>
      </w:r>
      <w:r w:rsidR="009D73AE">
        <w:rPr>
          <w:rFonts w:ascii="Calibri" w:hAnsi="Calibri"/>
          <w:sz w:val="22"/>
          <w:szCs w:val="22"/>
          <w:lang w:val="en-GB"/>
        </w:rPr>
        <w:t xml:space="preserve">and </w:t>
      </w:r>
      <w:proofErr w:type="gramStart"/>
      <w:r w:rsidR="00B22791">
        <w:rPr>
          <w:rFonts w:ascii="Calibri" w:hAnsi="Calibri"/>
          <w:sz w:val="22"/>
          <w:szCs w:val="22"/>
          <w:lang w:val="en-GB"/>
        </w:rPr>
        <w:t>it’s</w:t>
      </w:r>
      <w:proofErr w:type="gramEnd"/>
      <w:r w:rsidR="00B22791">
        <w:rPr>
          <w:rFonts w:ascii="Calibri" w:hAnsi="Calibri"/>
          <w:sz w:val="22"/>
          <w:szCs w:val="22"/>
          <w:lang w:val="en-GB"/>
        </w:rPr>
        <w:t xml:space="preserve"> </w:t>
      </w:r>
      <w:r w:rsidR="009D73AE">
        <w:rPr>
          <w:rFonts w:ascii="Calibri" w:hAnsi="Calibri"/>
          <w:sz w:val="22"/>
          <w:szCs w:val="22"/>
          <w:lang w:val="en-GB"/>
        </w:rPr>
        <w:t>relationship with the market</w:t>
      </w:r>
      <w:r w:rsidR="00A619A6">
        <w:rPr>
          <w:rFonts w:ascii="Calibri" w:hAnsi="Calibri"/>
          <w:sz w:val="22"/>
          <w:szCs w:val="22"/>
          <w:lang w:val="en-GB"/>
        </w:rPr>
        <w:t>.</w:t>
      </w:r>
      <w:r>
        <w:rPr>
          <w:rFonts w:ascii="Calibri" w:hAnsi="Calibri"/>
          <w:sz w:val="22"/>
          <w:szCs w:val="22"/>
          <w:lang w:val="en-GB"/>
        </w:rPr>
        <w:t xml:space="preserve"> The set of performance criteria contained in this proposal </w:t>
      </w:r>
      <w:r w:rsidR="007F7360">
        <w:rPr>
          <w:rFonts w:ascii="Calibri" w:hAnsi="Calibri"/>
          <w:sz w:val="22"/>
          <w:szCs w:val="22"/>
          <w:lang w:val="en-GB"/>
        </w:rPr>
        <w:t xml:space="preserve">were initially developed by the task team, and have been further </w:t>
      </w:r>
      <w:r>
        <w:rPr>
          <w:rFonts w:ascii="Calibri" w:hAnsi="Calibri"/>
          <w:sz w:val="22"/>
          <w:szCs w:val="22"/>
          <w:lang w:val="en-GB"/>
        </w:rPr>
        <w:t>developed i</w:t>
      </w:r>
      <w:r w:rsidR="007F7360">
        <w:rPr>
          <w:rFonts w:ascii="Calibri" w:hAnsi="Calibri"/>
          <w:sz w:val="22"/>
          <w:szCs w:val="22"/>
          <w:lang w:val="en-GB"/>
        </w:rPr>
        <w:t>n close consultation with deans</w:t>
      </w:r>
      <w:r w:rsidR="00962EA5">
        <w:rPr>
          <w:rFonts w:ascii="Calibri" w:hAnsi="Calibri"/>
          <w:sz w:val="22"/>
          <w:szCs w:val="22"/>
          <w:lang w:val="en-GB"/>
        </w:rPr>
        <w:t xml:space="preserve"> and faculty boards</w:t>
      </w:r>
      <w:r w:rsidR="007F7360">
        <w:rPr>
          <w:rFonts w:ascii="Calibri" w:hAnsi="Calibri"/>
          <w:sz w:val="22"/>
          <w:szCs w:val="22"/>
          <w:lang w:val="en-GB"/>
        </w:rPr>
        <w:t xml:space="preserve">. These take </w:t>
      </w:r>
      <w:r>
        <w:rPr>
          <w:rFonts w:ascii="Calibri" w:hAnsi="Calibri"/>
          <w:sz w:val="22"/>
          <w:szCs w:val="22"/>
          <w:lang w:val="en-GB"/>
        </w:rPr>
        <w:t>the form of a generic framework accompanied by a set of faculty-specific criteria, the criteria for each faculty being aligned with its ad hominem promotion criteria.</w:t>
      </w:r>
      <w:r w:rsidR="009D73AE">
        <w:rPr>
          <w:rFonts w:ascii="Calibri" w:hAnsi="Calibri"/>
          <w:sz w:val="22"/>
          <w:szCs w:val="22"/>
          <w:lang w:val="en-GB"/>
        </w:rPr>
        <w:t xml:space="preserve">  </w:t>
      </w:r>
    </w:p>
    <w:p w:rsidR="006D1DD5" w:rsidRDefault="00925241" w:rsidP="00226209">
      <w:pPr>
        <w:spacing w:before="120" w:after="120" w:line="320" w:lineRule="atLeast"/>
        <w:ind w:left="48"/>
        <w:jc w:val="both"/>
        <w:rPr>
          <w:rFonts w:ascii="Calibri" w:hAnsi="Calibri"/>
          <w:sz w:val="22"/>
          <w:szCs w:val="22"/>
          <w:lang w:val="en-GB"/>
        </w:rPr>
      </w:pPr>
      <w:r>
        <w:rPr>
          <w:rFonts w:ascii="Calibri" w:hAnsi="Calibri"/>
          <w:sz w:val="22"/>
          <w:szCs w:val="22"/>
          <w:lang w:val="en-GB"/>
        </w:rPr>
        <w:t>At the meeting in November 2010, Senate adopted the report and its recommendations with</w:t>
      </w:r>
      <w:r w:rsidR="006D1DD5">
        <w:rPr>
          <w:rFonts w:ascii="Calibri" w:hAnsi="Calibri"/>
          <w:sz w:val="22"/>
          <w:szCs w:val="22"/>
          <w:lang w:val="en-GB"/>
        </w:rPr>
        <w:t>–</w:t>
      </w:r>
      <w:r>
        <w:rPr>
          <w:rFonts w:ascii="Calibri" w:hAnsi="Calibri"/>
          <w:sz w:val="22"/>
          <w:szCs w:val="22"/>
          <w:lang w:val="en-GB"/>
        </w:rPr>
        <w:t xml:space="preserve"> </w:t>
      </w:r>
    </w:p>
    <w:p w:rsidR="006D1DD5" w:rsidRDefault="00925241" w:rsidP="006D1DD5">
      <w:pPr>
        <w:pStyle w:val="ListParagraph"/>
        <w:numPr>
          <w:ilvl w:val="0"/>
          <w:numId w:val="50"/>
        </w:numPr>
        <w:spacing w:before="120" w:after="120" w:line="320" w:lineRule="atLeast"/>
        <w:jc w:val="both"/>
        <w:rPr>
          <w:rFonts w:ascii="Calibri" w:hAnsi="Calibri"/>
          <w:sz w:val="22"/>
          <w:szCs w:val="22"/>
          <w:lang w:val="en-GB"/>
        </w:rPr>
      </w:pPr>
      <w:r w:rsidRPr="006D1DD5">
        <w:rPr>
          <w:rFonts w:ascii="Calibri" w:hAnsi="Calibri"/>
          <w:sz w:val="22"/>
          <w:szCs w:val="22"/>
          <w:lang w:val="en-GB"/>
        </w:rPr>
        <w:t xml:space="preserve">some changes and a number of recommendations for </w:t>
      </w:r>
      <w:r w:rsidR="006D1DD5">
        <w:rPr>
          <w:rFonts w:ascii="Calibri" w:hAnsi="Calibri"/>
          <w:sz w:val="22"/>
          <w:szCs w:val="22"/>
          <w:lang w:val="en-GB"/>
        </w:rPr>
        <w:t xml:space="preserve">further </w:t>
      </w:r>
      <w:r w:rsidRPr="006D1DD5">
        <w:rPr>
          <w:rFonts w:ascii="Calibri" w:hAnsi="Calibri"/>
          <w:sz w:val="22"/>
          <w:szCs w:val="22"/>
          <w:lang w:val="en-GB"/>
        </w:rPr>
        <w:t>consider</w:t>
      </w:r>
      <w:r w:rsidR="006D1DD5">
        <w:rPr>
          <w:rFonts w:ascii="Calibri" w:hAnsi="Calibri"/>
          <w:sz w:val="22"/>
          <w:szCs w:val="22"/>
          <w:lang w:val="en-GB"/>
        </w:rPr>
        <w:t>ing</w:t>
      </w:r>
      <w:r w:rsidRPr="006D1DD5">
        <w:rPr>
          <w:rFonts w:ascii="Calibri" w:hAnsi="Calibri"/>
          <w:sz w:val="22"/>
          <w:szCs w:val="22"/>
          <w:lang w:val="en-GB"/>
        </w:rPr>
        <w:t xml:space="preserve"> a</w:t>
      </w:r>
      <w:r w:rsidR="006D1DD5">
        <w:rPr>
          <w:rFonts w:ascii="Calibri" w:hAnsi="Calibri"/>
          <w:sz w:val="22"/>
          <w:szCs w:val="22"/>
          <w:lang w:val="en-GB"/>
        </w:rPr>
        <w:t>nd investigation; and</w:t>
      </w:r>
    </w:p>
    <w:p w:rsidR="002A385B" w:rsidRPr="006D1DD5" w:rsidRDefault="006D1DD5" w:rsidP="006D1DD5">
      <w:pPr>
        <w:pStyle w:val="ListParagraph"/>
        <w:numPr>
          <w:ilvl w:val="0"/>
          <w:numId w:val="50"/>
        </w:numPr>
        <w:spacing w:before="120" w:after="120" w:line="320" w:lineRule="atLeast"/>
        <w:jc w:val="both"/>
        <w:rPr>
          <w:rFonts w:ascii="Calibri" w:hAnsi="Calibri"/>
          <w:sz w:val="22"/>
          <w:szCs w:val="22"/>
          <w:lang w:val="en-GB"/>
        </w:rPr>
      </w:pPr>
      <w:proofErr w:type="gramStart"/>
      <w:r>
        <w:rPr>
          <w:rFonts w:ascii="Calibri" w:hAnsi="Calibri"/>
          <w:sz w:val="22"/>
          <w:szCs w:val="22"/>
          <w:lang w:val="en-GB"/>
        </w:rPr>
        <w:t>the</w:t>
      </w:r>
      <w:proofErr w:type="gramEnd"/>
      <w:r>
        <w:rPr>
          <w:rFonts w:ascii="Calibri" w:hAnsi="Calibri"/>
          <w:sz w:val="22"/>
          <w:szCs w:val="22"/>
          <w:lang w:val="en-GB"/>
        </w:rPr>
        <w:t xml:space="preserve"> amendment that it be reviewed after one year rather than after a full four year cycle.</w:t>
      </w:r>
    </w:p>
    <w:p w:rsidR="00891D4A" w:rsidRPr="00226209" w:rsidRDefault="00891D4A" w:rsidP="00226209">
      <w:pPr>
        <w:spacing w:before="120" w:after="120" w:line="320" w:lineRule="atLeast"/>
        <w:ind w:left="48"/>
        <w:jc w:val="both"/>
        <w:rPr>
          <w:rFonts w:ascii="Calibri" w:hAnsi="Calibri"/>
          <w:sz w:val="22"/>
          <w:szCs w:val="22"/>
          <w:lang w:val="en-GB"/>
        </w:rPr>
      </w:pPr>
    </w:p>
    <w:p w:rsidR="001D6473" w:rsidRPr="00A619A6" w:rsidRDefault="00890071" w:rsidP="008A6EB5">
      <w:pPr>
        <w:pStyle w:val="BodyText"/>
        <w:numPr>
          <w:ilvl w:val="0"/>
          <w:numId w:val="11"/>
        </w:numPr>
        <w:spacing w:before="120" w:after="120" w:line="320" w:lineRule="atLeast"/>
        <w:rPr>
          <w:rFonts w:ascii="Calibri" w:hAnsi="Calibri"/>
          <w:b/>
          <w:smallCaps/>
          <w:sz w:val="24"/>
          <w:szCs w:val="22"/>
        </w:rPr>
      </w:pPr>
      <w:bookmarkStart w:id="0" w:name="_Toc49234584"/>
      <w:r>
        <w:rPr>
          <w:rFonts w:ascii="Calibri" w:hAnsi="Calibri"/>
          <w:b/>
          <w:smallCaps/>
          <w:sz w:val="24"/>
          <w:szCs w:val="22"/>
        </w:rPr>
        <w:t>K</w:t>
      </w:r>
      <w:r w:rsidR="001D6473" w:rsidRPr="002A385B">
        <w:rPr>
          <w:rFonts w:ascii="Calibri" w:hAnsi="Calibri"/>
          <w:b/>
          <w:smallCaps/>
          <w:sz w:val="24"/>
          <w:szCs w:val="22"/>
        </w:rPr>
        <w:t>ey strategic considerations</w:t>
      </w:r>
    </w:p>
    <w:p w:rsidR="006268C4" w:rsidRDefault="001D6473" w:rsidP="001D6473">
      <w:pPr>
        <w:pStyle w:val="BodyText"/>
        <w:spacing w:before="120" w:after="120" w:line="320" w:lineRule="atLeast"/>
        <w:rPr>
          <w:rFonts w:ascii="Calibri" w:hAnsi="Calibri"/>
          <w:szCs w:val="22"/>
        </w:rPr>
      </w:pPr>
      <w:proofErr w:type="spellStart"/>
      <w:r>
        <w:rPr>
          <w:rFonts w:ascii="Calibri" w:hAnsi="Calibri"/>
          <w:szCs w:val="22"/>
        </w:rPr>
        <w:t>UCT</w:t>
      </w:r>
      <w:proofErr w:type="spellEnd"/>
      <w:r>
        <w:rPr>
          <w:rFonts w:ascii="Calibri" w:hAnsi="Calibri"/>
          <w:szCs w:val="22"/>
        </w:rPr>
        <w:t xml:space="preserve"> aspires to being a research-led institution. This implies an </w:t>
      </w:r>
      <w:r w:rsidR="00890071">
        <w:rPr>
          <w:rFonts w:ascii="Calibri" w:hAnsi="Calibri"/>
          <w:szCs w:val="22"/>
        </w:rPr>
        <w:t xml:space="preserve">expectation that academic staff members </w:t>
      </w:r>
      <w:r>
        <w:rPr>
          <w:rFonts w:ascii="Calibri" w:hAnsi="Calibri"/>
          <w:szCs w:val="22"/>
        </w:rPr>
        <w:t xml:space="preserve">be engaged in research and scholarship of high quality, as determined through </w:t>
      </w:r>
      <w:r w:rsidR="006268C4">
        <w:rPr>
          <w:rFonts w:ascii="Calibri" w:hAnsi="Calibri"/>
          <w:szCs w:val="22"/>
        </w:rPr>
        <w:t xml:space="preserve">appropriate </w:t>
      </w:r>
      <w:r>
        <w:rPr>
          <w:rFonts w:ascii="Calibri" w:hAnsi="Calibri"/>
          <w:szCs w:val="22"/>
        </w:rPr>
        <w:t xml:space="preserve">national and international </w:t>
      </w:r>
      <w:r w:rsidR="006268C4">
        <w:rPr>
          <w:rFonts w:ascii="Calibri" w:hAnsi="Calibri"/>
          <w:szCs w:val="22"/>
        </w:rPr>
        <w:t>norms</w:t>
      </w:r>
      <w:r>
        <w:rPr>
          <w:rFonts w:ascii="Calibri" w:hAnsi="Calibri"/>
          <w:szCs w:val="22"/>
        </w:rPr>
        <w:t xml:space="preserve">. The aspiration implies also that teaching and learning, </w:t>
      </w:r>
      <w:r w:rsidR="00890071">
        <w:rPr>
          <w:rFonts w:ascii="Calibri" w:hAnsi="Calibri"/>
          <w:szCs w:val="22"/>
        </w:rPr>
        <w:t>and social responsiveness, rather than being regarded as</w:t>
      </w:r>
      <w:r>
        <w:rPr>
          <w:rFonts w:ascii="Calibri" w:hAnsi="Calibri"/>
          <w:szCs w:val="22"/>
        </w:rPr>
        <w:t xml:space="preserve"> completely independent arena</w:t>
      </w:r>
      <w:r w:rsidR="00890071">
        <w:rPr>
          <w:rFonts w:ascii="Calibri" w:hAnsi="Calibri"/>
          <w:szCs w:val="22"/>
        </w:rPr>
        <w:t>s</w:t>
      </w:r>
      <w:r>
        <w:rPr>
          <w:rFonts w:ascii="Calibri" w:hAnsi="Calibri"/>
          <w:szCs w:val="22"/>
        </w:rPr>
        <w:t xml:space="preserve"> of activity, will benefit from, and to varying degrees be shaped by</w:t>
      </w:r>
      <w:r w:rsidR="00807CB4">
        <w:rPr>
          <w:rFonts w:ascii="Calibri" w:hAnsi="Calibri"/>
          <w:szCs w:val="22"/>
        </w:rPr>
        <w:t>,</w:t>
      </w:r>
      <w:r>
        <w:rPr>
          <w:rFonts w:ascii="Calibri" w:hAnsi="Calibri"/>
          <w:szCs w:val="22"/>
        </w:rPr>
        <w:t xml:space="preserve"> the range of research activities in which academic staff members are </w:t>
      </w:r>
      <w:r w:rsidR="004D178A">
        <w:rPr>
          <w:rFonts w:ascii="Calibri" w:hAnsi="Calibri"/>
          <w:szCs w:val="22"/>
        </w:rPr>
        <w:t>engaged</w:t>
      </w:r>
      <w:r w:rsidR="006268C4">
        <w:rPr>
          <w:rFonts w:ascii="Calibri" w:hAnsi="Calibri"/>
          <w:szCs w:val="22"/>
        </w:rPr>
        <w:t xml:space="preserve">. </w:t>
      </w:r>
    </w:p>
    <w:p w:rsidR="00BF3B5E" w:rsidRDefault="0000694A" w:rsidP="001D6473">
      <w:pPr>
        <w:pStyle w:val="BodyText"/>
        <w:spacing w:before="120" w:after="120" w:line="320" w:lineRule="atLeast"/>
        <w:rPr>
          <w:rFonts w:ascii="Calibri" w:hAnsi="Calibri"/>
          <w:szCs w:val="22"/>
        </w:rPr>
      </w:pPr>
      <w:r>
        <w:rPr>
          <w:rFonts w:ascii="Calibri" w:hAnsi="Calibri"/>
          <w:szCs w:val="22"/>
        </w:rPr>
        <w:t xml:space="preserve">The University of Cape Town is committed to transformation. In the context of a remuneration policy for academic staff, a key transformational objective is that of “building a diverse staff profile and creating a fulfilling work environment”. </w:t>
      </w:r>
    </w:p>
    <w:p w:rsidR="001D6473" w:rsidRPr="00DE3538" w:rsidRDefault="000A1899" w:rsidP="001D6473">
      <w:pPr>
        <w:pStyle w:val="BodyText"/>
        <w:spacing w:before="120" w:after="120" w:line="320" w:lineRule="atLeast"/>
        <w:rPr>
          <w:rFonts w:ascii="Calibri" w:hAnsi="Calibri"/>
          <w:szCs w:val="22"/>
        </w:rPr>
      </w:pPr>
      <w:proofErr w:type="spellStart"/>
      <w:r>
        <w:rPr>
          <w:rFonts w:ascii="Calibri" w:hAnsi="Calibri"/>
          <w:szCs w:val="22"/>
        </w:rPr>
        <w:t>UCT’s</w:t>
      </w:r>
      <w:proofErr w:type="spellEnd"/>
      <w:r>
        <w:rPr>
          <w:rFonts w:ascii="Calibri" w:hAnsi="Calibri"/>
          <w:szCs w:val="22"/>
        </w:rPr>
        <w:t xml:space="preserve"> </w:t>
      </w:r>
      <w:r w:rsidR="00890071">
        <w:rPr>
          <w:rFonts w:ascii="Calibri" w:hAnsi="Calibri"/>
          <w:szCs w:val="22"/>
        </w:rPr>
        <w:t>mission</w:t>
      </w:r>
      <w:r w:rsidR="001D6473" w:rsidRPr="00DE3538">
        <w:rPr>
          <w:rFonts w:ascii="Calibri" w:hAnsi="Calibri"/>
          <w:szCs w:val="22"/>
        </w:rPr>
        <w:t xml:space="preserve"> </w:t>
      </w:r>
      <w:r w:rsidR="00821A27">
        <w:rPr>
          <w:rFonts w:ascii="Calibri" w:hAnsi="Calibri"/>
          <w:szCs w:val="22"/>
        </w:rPr>
        <w:t xml:space="preserve">and strategic objectives </w:t>
      </w:r>
      <w:r w:rsidR="001D6473" w:rsidRPr="00DE3538">
        <w:rPr>
          <w:rFonts w:ascii="Calibri" w:hAnsi="Calibri"/>
          <w:szCs w:val="22"/>
        </w:rPr>
        <w:t xml:space="preserve">should be given substance through, inter alia, the implementation of a remuneration policy which reflects the values of the institution, and which attracts, retains and rewards staff </w:t>
      </w:r>
      <w:r w:rsidR="00821A27">
        <w:rPr>
          <w:rFonts w:ascii="Calibri" w:hAnsi="Calibri"/>
          <w:szCs w:val="22"/>
        </w:rPr>
        <w:t xml:space="preserve">of high quality </w:t>
      </w:r>
      <w:r w:rsidR="001D6473" w:rsidRPr="00DE3538">
        <w:rPr>
          <w:rFonts w:ascii="Calibri" w:hAnsi="Calibri"/>
          <w:szCs w:val="22"/>
        </w:rPr>
        <w:t xml:space="preserve">who contribute to </w:t>
      </w:r>
      <w:r>
        <w:rPr>
          <w:rFonts w:ascii="Calibri" w:hAnsi="Calibri"/>
          <w:szCs w:val="22"/>
        </w:rPr>
        <w:t xml:space="preserve">their </w:t>
      </w:r>
      <w:proofErr w:type="spellStart"/>
      <w:r w:rsidR="001D6473" w:rsidRPr="00DE3538">
        <w:rPr>
          <w:rFonts w:ascii="Calibri" w:hAnsi="Calibri"/>
          <w:szCs w:val="22"/>
        </w:rPr>
        <w:t>realisation</w:t>
      </w:r>
      <w:proofErr w:type="spellEnd"/>
      <w:r w:rsidR="001D6473" w:rsidRPr="00DE3538">
        <w:rPr>
          <w:rFonts w:ascii="Calibri" w:hAnsi="Calibri"/>
          <w:szCs w:val="22"/>
        </w:rPr>
        <w:t xml:space="preserve">. </w:t>
      </w:r>
      <w:r w:rsidR="00821A27">
        <w:rPr>
          <w:rFonts w:ascii="Calibri" w:hAnsi="Calibri"/>
          <w:szCs w:val="22"/>
        </w:rPr>
        <w:t xml:space="preserve">The policy should promote recruitment and retention that are consonant with the Employment Equity Policy of the university, and with </w:t>
      </w:r>
      <w:r w:rsidR="00807CB4">
        <w:rPr>
          <w:rFonts w:ascii="Calibri" w:hAnsi="Calibri"/>
          <w:szCs w:val="22"/>
        </w:rPr>
        <w:t>the</w:t>
      </w:r>
      <w:r w:rsidR="00821A27">
        <w:rPr>
          <w:rFonts w:ascii="Calibri" w:hAnsi="Calibri"/>
          <w:szCs w:val="22"/>
        </w:rPr>
        <w:t xml:space="preserve"> goal of ensuring an i</w:t>
      </w:r>
      <w:r w:rsidR="00BF3B5E">
        <w:rPr>
          <w:rFonts w:ascii="Calibri" w:hAnsi="Calibri"/>
          <w:szCs w:val="22"/>
        </w:rPr>
        <w:t>nclusive institutional culture, and an environment in which academic staff can succeed in achieving their objectives.</w:t>
      </w:r>
    </w:p>
    <w:bookmarkEnd w:id="0"/>
    <w:p w:rsidR="00437C05" w:rsidRDefault="00821A27" w:rsidP="00821A27">
      <w:pPr>
        <w:pStyle w:val="BodyText"/>
        <w:spacing w:before="120" w:after="120" w:line="320" w:lineRule="atLeast"/>
        <w:rPr>
          <w:rFonts w:ascii="Calibri" w:hAnsi="Calibri"/>
          <w:szCs w:val="22"/>
        </w:rPr>
      </w:pPr>
      <w:r>
        <w:rPr>
          <w:rFonts w:ascii="Calibri" w:hAnsi="Calibri"/>
          <w:szCs w:val="22"/>
        </w:rPr>
        <w:t xml:space="preserve">Equity and fairness in the remuneration policy are essential, as are </w:t>
      </w:r>
      <w:r w:rsidR="00437C05" w:rsidRPr="00DE3538">
        <w:rPr>
          <w:rFonts w:ascii="Calibri" w:hAnsi="Calibri"/>
          <w:szCs w:val="22"/>
        </w:rPr>
        <w:t xml:space="preserve">incentives to encourage and reward excellent performance, on the basis of </w:t>
      </w:r>
      <w:r w:rsidR="002E37EE">
        <w:rPr>
          <w:rFonts w:ascii="Calibri" w:hAnsi="Calibri"/>
          <w:szCs w:val="22"/>
        </w:rPr>
        <w:t>agreed-upon</w:t>
      </w:r>
      <w:r w:rsidR="00437C05" w:rsidRPr="00DE3538">
        <w:rPr>
          <w:rFonts w:ascii="Calibri" w:hAnsi="Calibri"/>
          <w:szCs w:val="22"/>
        </w:rPr>
        <w:t xml:space="preserve"> criteria</w:t>
      </w:r>
      <w:r>
        <w:rPr>
          <w:rFonts w:ascii="Calibri" w:hAnsi="Calibri"/>
          <w:szCs w:val="22"/>
        </w:rPr>
        <w:t>.</w:t>
      </w:r>
    </w:p>
    <w:p w:rsidR="006268C4" w:rsidRDefault="00821A27" w:rsidP="00821A27">
      <w:pPr>
        <w:pStyle w:val="BodyText"/>
        <w:spacing w:before="120" w:after="120" w:line="320" w:lineRule="atLeast"/>
        <w:rPr>
          <w:rFonts w:ascii="Calibri" w:hAnsi="Calibri"/>
          <w:szCs w:val="22"/>
        </w:rPr>
      </w:pPr>
      <w:r>
        <w:rPr>
          <w:rFonts w:ascii="Calibri" w:hAnsi="Calibri"/>
          <w:szCs w:val="22"/>
        </w:rPr>
        <w:t xml:space="preserve">The policy introduced in 2004 has resulted overall in significant changes in the approach by academic staff members to their work. The definition </w:t>
      </w:r>
      <w:r w:rsidR="0062506A">
        <w:rPr>
          <w:rFonts w:ascii="Calibri" w:hAnsi="Calibri"/>
          <w:szCs w:val="22"/>
        </w:rPr>
        <w:t>in the performance criteria</w:t>
      </w:r>
      <w:r w:rsidR="006268C4">
        <w:rPr>
          <w:rFonts w:ascii="Calibri" w:hAnsi="Calibri"/>
          <w:szCs w:val="22"/>
        </w:rPr>
        <w:t xml:space="preserve"> </w:t>
      </w:r>
      <w:r>
        <w:rPr>
          <w:rFonts w:ascii="Calibri" w:hAnsi="Calibri"/>
          <w:szCs w:val="22"/>
        </w:rPr>
        <w:t>of what constitute</w:t>
      </w:r>
      <w:r w:rsidR="0062506A">
        <w:rPr>
          <w:rFonts w:ascii="Calibri" w:hAnsi="Calibri"/>
          <w:szCs w:val="22"/>
        </w:rPr>
        <w:t>s</w:t>
      </w:r>
      <w:r>
        <w:rPr>
          <w:rFonts w:ascii="Calibri" w:hAnsi="Calibri"/>
          <w:szCs w:val="22"/>
        </w:rPr>
        <w:t xml:space="preserve"> the work of an effective academic staff member</w:t>
      </w:r>
      <w:r w:rsidR="006268C4">
        <w:rPr>
          <w:rFonts w:ascii="Calibri" w:hAnsi="Calibri"/>
          <w:szCs w:val="22"/>
        </w:rPr>
        <w:t xml:space="preserve">, and the direct relationship between performance assessment and reward systems, </w:t>
      </w:r>
      <w:r w:rsidR="00807CB4">
        <w:rPr>
          <w:rFonts w:ascii="Calibri" w:hAnsi="Calibri"/>
          <w:szCs w:val="22"/>
        </w:rPr>
        <w:t>are</w:t>
      </w:r>
      <w:r w:rsidR="0061420C">
        <w:rPr>
          <w:rFonts w:ascii="Calibri" w:hAnsi="Calibri"/>
          <w:szCs w:val="22"/>
        </w:rPr>
        <w:t xml:space="preserve"> believed to have </w:t>
      </w:r>
      <w:r w:rsidR="006268C4">
        <w:rPr>
          <w:rFonts w:ascii="Calibri" w:hAnsi="Calibri"/>
          <w:szCs w:val="22"/>
        </w:rPr>
        <w:t>led to a marked improvement in performance, particularly in the area of research.</w:t>
      </w:r>
    </w:p>
    <w:p w:rsidR="00B73A83" w:rsidRDefault="0062506A" w:rsidP="00821A27">
      <w:pPr>
        <w:pStyle w:val="BodyText"/>
        <w:spacing w:before="120" w:after="120" w:line="320" w:lineRule="atLeast"/>
        <w:rPr>
          <w:rFonts w:ascii="Calibri" w:hAnsi="Calibri"/>
          <w:szCs w:val="22"/>
        </w:rPr>
      </w:pPr>
      <w:r>
        <w:rPr>
          <w:rFonts w:ascii="Calibri" w:hAnsi="Calibri"/>
          <w:szCs w:val="22"/>
        </w:rPr>
        <w:t>However, the current policy has shortcomings</w:t>
      </w:r>
      <w:r w:rsidR="009D73AE">
        <w:rPr>
          <w:rFonts w:ascii="Calibri" w:hAnsi="Calibri"/>
          <w:szCs w:val="22"/>
        </w:rPr>
        <w:t>. In particular</w:t>
      </w:r>
      <w:r>
        <w:rPr>
          <w:rFonts w:ascii="Calibri" w:hAnsi="Calibri"/>
          <w:szCs w:val="22"/>
        </w:rPr>
        <w:t xml:space="preserve">, there is a patent lack of flexibility in the </w:t>
      </w:r>
      <w:r w:rsidR="006268C4">
        <w:rPr>
          <w:rFonts w:ascii="Calibri" w:hAnsi="Calibri"/>
          <w:szCs w:val="22"/>
        </w:rPr>
        <w:t xml:space="preserve">current </w:t>
      </w:r>
      <w:r>
        <w:rPr>
          <w:rFonts w:ascii="Calibri" w:hAnsi="Calibri"/>
          <w:szCs w:val="22"/>
        </w:rPr>
        <w:t xml:space="preserve">performance criteria, </w:t>
      </w:r>
      <w:r w:rsidR="006268C4">
        <w:rPr>
          <w:rFonts w:ascii="Calibri" w:hAnsi="Calibri"/>
          <w:szCs w:val="22"/>
        </w:rPr>
        <w:t xml:space="preserve">with a resultant </w:t>
      </w:r>
      <w:r>
        <w:rPr>
          <w:rFonts w:ascii="Calibri" w:hAnsi="Calibri"/>
          <w:szCs w:val="22"/>
        </w:rPr>
        <w:t xml:space="preserve">constraining effect on heads </w:t>
      </w:r>
      <w:r w:rsidR="00807CB4">
        <w:rPr>
          <w:rFonts w:ascii="Calibri" w:hAnsi="Calibri"/>
          <w:szCs w:val="22"/>
        </w:rPr>
        <w:t xml:space="preserve">of department </w:t>
      </w:r>
      <w:r>
        <w:rPr>
          <w:rFonts w:ascii="Calibri" w:hAnsi="Calibri"/>
          <w:szCs w:val="22"/>
        </w:rPr>
        <w:t>and staff members</w:t>
      </w:r>
      <w:r w:rsidR="006268C4">
        <w:rPr>
          <w:rFonts w:ascii="Calibri" w:hAnsi="Calibri"/>
          <w:szCs w:val="22"/>
        </w:rPr>
        <w:t xml:space="preserve"> in relation to the setting of objectives in an optimal manner. </w:t>
      </w:r>
    </w:p>
    <w:p w:rsidR="008D7ABF" w:rsidRDefault="006268C4" w:rsidP="00C71EBF">
      <w:pPr>
        <w:pStyle w:val="BodyText"/>
        <w:spacing w:before="120" w:after="120" w:line="320" w:lineRule="atLeast"/>
        <w:rPr>
          <w:rFonts w:ascii="Calibri" w:hAnsi="Calibri"/>
          <w:szCs w:val="22"/>
        </w:rPr>
      </w:pPr>
      <w:r>
        <w:rPr>
          <w:rFonts w:ascii="Calibri" w:hAnsi="Calibri"/>
          <w:szCs w:val="22"/>
        </w:rPr>
        <w:t xml:space="preserve">For the reason that high-quality universities require a range of competencies in the academic staff in order to meet contemporary needs in higher education and research, a central goal in the work of the task team has been to ensure that academic staff roles that are valuable or essential to the university but </w:t>
      </w:r>
      <w:r w:rsidR="00807CB4">
        <w:rPr>
          <w:rFonts w:ascii="Calibri" w:hAnsi="Calibri"/>
          <w:szCs w:val="22"/>
        </w:rPr>
        <w:t xml:space="preserve">which </w:t>
      </w:r>
      <w:r>
        <w:rPr>
          <w:rFonts w:ascii="Calibri" w:hAnsi="Calibri"/>
          <w:szCs w:val="22"/>
        </w:rPr>
        <w:t xml:space="preserve">have not been adequately </w:t>
      </w:r>
      <w:proofErr w:type="spellStart"/>
      <w:r>
        <w:rPr>
          <w:rFonts w:ascii="Calibri" w:hAnsi="Calibri"/>
          <w:szCs w:val="22"/>
        </w:rPr>
        <w:t>recognised</w:t>
      </w:r>
      <w:proofErr w:type="spellEnd"/>
      <w:r>
        <w:rPr>
          <w:rFonts w:ascii="Calibri" w:hAnsi="Calibri"/>
          <w:szCs w:val="22"/>
        </w:rPr>
        <w:t xml:space="preserve"> will in future be </w:t>
      </w:r>
      <w:proofErr w:type="spellStart"/>
      <w:r>
        <w:rPr>
          <w:rFonts w:ascii="Calibri" w:hAnsi="Calibri"/>
          <w:szCs w:val="22"/>
        </w:rPr>
        <w:t>recognised</w:t>
      </w:r>
      <w:proofErr w:type="spellEnd"/>
      <w:r>
        <w:rPr>
          <w:rFonts w:ascii="Calibri" w:hAnsi="Calibri"/>
          <w:szCs w:val="22"/>
        </w:rPr>
        <w:t xml:space="preserve">. This entails providing for flexibility in the manner in which objectives are set and contributions assessed within and across key performance areas. </w:t>
      </w:r>
      <w:r w:rsidR="00B22791">
        <w:rPr>
          <w:rFonts w:ascii="Calibri" w:hAnsi="Calibri"/>
          <w:szCs w:val="22"/>
        </w:rPr>
        <w:t>The recommendations in this document accommodate for greater flexibility of application.</w:t>
      </w:r>
    </w:p>
    <w:p w:rsidR="006268C4" w:rsidRPr="00652F94" w:rsidRDefault="00B16CA6" w:rsidP="00C71EBF">
      <w:pPr>
        <w:pStyle w:val="BodyText"/>
        <w:spacing w:before="120" w:after="120" w:line="320" w:lineRule="atLeast"/>
        <w:rPr>
          <w:rFonts w:asciiTheme="minorHAnsi" w:hAnsiTheme="minorHAnsi"/>
          <w:szCs w:val="22"/>
        </w:rPr>
      </w:pPr>
      <w:r>
        <w:rPr>
          <w:rFonts w:ascii="Calibri" w:hAnsi="Calibri"/>
          <w:szCs w:val="22"/>
        </w:rPr>
        <w:lastRenderedPageBreak/>
        <w:t xml:space="preserve">Since performance norms and expectations differ substantially across faculties and disciplines, the revised policy </w:t>
      </w:r>
      <w:r w:rsidR="008D7ABF">
        <w:rPr>
          <w:rFonts w:ascii="Calibri" w:hAnsi="Calibri"/>
          <w:szCs w:val="22"/>
        </w:rPr>
        <w:t xml:space="preserve">includes a set </w:t>
      </w:r>
      <w:r>
        <w:rPr>
          <w:rFonts w:ascii="Calibri" w:hAnsi="Calibri"/>
          <w:szCs w:val="22"/>
        </w:rPr>
        <w:t xml:space="preserve">of faculty-specific criteria which are aligned with </w:t>
      </w:r>
      <w:r w:rsidR="008D7ABF">
        <w:rPr>
          <w:rFonts w:ascii="Calibri" w:hAnsi="Calibri"/>
          <w:szCs w:val="22"/>
        </w:rPr>
        <w:t xml:space="preserve">a </w:t>
      </w:r>
      <w:r>
        <w:rPr>
          <w:rFonts w:ascii="Calibri" w:hAnsi="Calibri"/>
          <w:szCs w:val="22"/>
        </w:rPr>
        <w:t xml:space="preserve">generic </w:t>
      </w:r>
      <w:r w:rsidR="008D7ABF">
        <w:rPr>
          <w:rFonts w:ascii="Calibri" w:hAnsi="Calibri"/>
          <w:szCs w:val="22"/>
        </w:rPr>
        <w:t xml:space="preserve">framework, and which </w:t>
      </w:r>
      <w:r>
        <w:rPr>
          <w:rFonts w:ascii="Calibri" w:hAnsi="Calibri"/>
          <w:szCs w:val="22"/>
        </w:rPr>
        <w:t xml:space="preserve">properly address such differences, including </w:t>
      </w:r>
      <w:r w:rsidR="0061420C">
        <w:rPr>
          <w:rFonts w:ascii="Calibri" w:hAnsi="Calibri"/>
          <w:szCs w:val="22"/>
        </w:rPr>
        <w:t xml:space="preserve">those relevant to what constitutes scholarship, and the means by which </w:t>
      </w:r>
      <w:r>
        <w:rPr>
          <w:rFonts w:ascii="Calibri" w:hAnsi="Calibri"/>
          <w:szCs w:val="22"/>
        </w:rPr>
        <w:t xml:space="preserve">research is assessed in terms of both quality and quantity. </w:t>
      </w:r>
    </w:p>
    <w:p w:rsidR="00B16CA6" w:rsidRPr="002A385B" w:rsidRDefault="008D7ABF" w:rsidP="002A385B">
      <w:pPr>
        <w:spacing w:before="120" w:after="120" w:line="320" w:lineRule="atLeast"/>
        <w:jc w:val="both"/>
        <w:rPr>
          <w:rFonts w:asciiTheme="minorHAnsi" w:hAnsiTheme="minorHAnsi"/>
          <w:sz w:val="22"/>
          <w:szCs w:val="22"/>
        </w:rPr>
      </w:pPr>
      <w:r>
        <w:rPr>
          <w:rFonts w:asciiTheme="minorHAnsi" w:hAnsiTheme="minorHAnsi"/>
          <w:sz w:val="22"/>
          <w:szCs w:val="22"/>
        </w:rPr>
        <w:t xml:space="preserve">Expectations in respect of performance are to a great extent captured in the </w:t>
      </w:r>
      <w:r w:rsidR="00652F94" w:rsidRPr="00FA4329">
        <w:rPr>
          <w:rFonts w:asciiTheme="minorHAnsi" w:hAnsiTheme="minorHAnsi"/>
          <w:sz w:val="22"/>
          <w:szCs w:val="22"/>
        </w:rPr>
        <w:t>f</w:t>
      </w:r>
      <w:r w:rsidR="002E37EE" w:rsidRPr="00FA4329">
        <w:rPr>
          <w:rFonts w:asciiTheme="minorHAnsi" w:hAnsiTheme="minorHAnsi"/>
          <w:sz w:val="22"/>
          <w:szCs w:val="22"/>
        </w:rPr>
        <w:t>aculty ad hominem promotion criteria</w:t>
      </w:r>
      <w:r w:rsidR="00652F94" w:rsidRPr="00FA4329">
        <w:rPr>
          <w:rFonts w:asciiTheme="minorHAnsi" w:hAnsiTheme="minorHAnsi"/>
          <w:sz w:val="22"/>
          <w:szCs w:val="22"/>
        </w:rPr>
        <w:t>,</w:t>
      </w:r>
      <w:r w:rsidR="002E37EE" w:rsidRPr="00FA4329">
        <w:rPr>
          <w:rFonts w:asciiTheme="minorHAnsi" w:hAnsiTheme="minorHAnsi"/>
          <w:sz w:val="22"/>
          <w:szCs w:val="22"/>
        </w:rPr>
        <w:t xml:space="preserve"> </w:t>
      </w:r>
      <w:r w:rsidR="00652F94" w:rsidRPr="00FA4329">
        <w:rPr>
          <w:rFonts w:asciiTheme="minorHAnsi" w:hAnsiTheme="minorHAnsi"/>
          <w:sz w:val="22"/>
          <w:szCs w:val="22"/>
        </w:rPr>
        <w:t xml:space="preserve">in </w:t>
      </w:r>
      <w:r w:rsidR="002E37EE" w:rsidRPr="00FA4329">
        <w:rPr>
          <w:rFonts w:asciiTheme="minorHAnsi" w:hAnsiTheme="minorHAnsi"/>
          <w:sz w:val="22"/>
          <w:szCs w:val="22"/>
        </w:rPr>
        <w:t>each of the</w:t>
      </w:r>
      <w:r w:rsidR="002E37EE" w:rsidRPr="00652F94">
        <w:rPr>
          <w:rFonts w:asciiTheme="minorHAnsi" w:hAnsiTheme="minorHAnsi"/>
          <w:sz w:val="22"/>
          <w:szCs w:val="22"/>
        </w:rPr>
        <w:t xml:space="preserve"> main pillars of activity</w:t>
      </w:r>
      <w:r w:rsidR="00652F94" w:rsidRPr="00652F94">
        <w:rPr>
          <w:rFonts w:asciiTheme="minorHAnsi" w:hAnsiTheme="minorHAnsi"/>
          <w:sz w:val="22"/>
          <w:szCs w:val="22"/>
        </w:rPr>
        <w:t xml:space="preserve">, viz. </w:t>
      </w:r>
      <w:r w:rsidR="002E37EE" w:rsidRPr="00652F94">
        <w:rPr>
          <w:rFonts w:asciiTheme="minorHAnsi" w:hAnsiTheme="minorHAnsi"/>
          <w:sz w:val="22"/>
          <w:szCs w:val="22"/>
        </w:rPr>
        <w:t xml:space="preserve">research, teaching, </w:t>
      </w:r>
      <w:r w:rsidR="00652F94" w:rsidRPr="00652F94">
        <w:rPr>
          <w:rFonts w:asciiTheme="minorHAnsi" w:hAnsiTheme="minorHAnsi"/>
          <w:sz w:val="22"/>
          <w:szCs w:val="22"/>
        </w:rPr>
        <w:t xml:space="preserve">leadership and </w:t>
      </w:r>
      <w:r w:rsidR="002E37EE" w:rsidRPr="00652F94">
        <w:rPr>
          <w:rFonts w:asciiTheme="minorHAnsi" w:hAnsiTheme="minorHAnsi"/>
          <w:sz w:val="22"/>
          <w:szCs w:val="22"/>
        </w:rPr>
        <w:t>administration</w:t>
      </w:r>
      <w:r w:rsidR="00652F94" w:rsidRPr="00652F94">
        <w:rPr>
          <w:rFonts w:asciiTheme="minorHAnsi" w:hAnsiTheme="minorHAnsi"/>
          <w:sz w:val="22"/>
          <w:szCs w:val="22"/>
        </w:rPr>
        <w:t>,</w:t>
      </w:r>
      <w:r w:rsidR="002E37EE" w:rsidRPr="00652F94">
        <w:rPr>
          <w:rFonts w:asciiTheme="minorHAnsi" w:hAnsiTheme="minorHAnsi"/>
          <w:sz w:val="22"/>
          <w:szCs w:val="22"/>
        </w:rPr>
        <w:t xml:space="preserve"> and social responsiveness.  The </w:t>
      </w:r>
      <w:r>
        <w:rPr>
          <w:rFonts w:asciiTheme="minorHAnsi" w:hAnsiTheme="minorHAnsi"/>
          <w:sz w:val="22"/>
          <w:szCs w:val="22"/>
        </w:rPr>
        <w:t xml:space="preserve">faculty-specific criteria </w:t>
      </w:r>
      <w:r w:rsidR="002E37EE" w:rsidRPr="008D7ABF">
        <w:rPr>
          <w:rFonts w:asciiTheme="minorHAnsi" w:hAnsiTheme="minorHAnsi"/>
          <w:sz w:val="22"/>
          <w:szCs w:val="22"/>
        </w:rPr>
        <w:t xml:space="preserve">capture expected </w:t>
      </w:r>
      <w:r w:rsidR="002E37EE" w:rsidRPr="002A385B">
        <w:rPr>
          <w:rFonts w:asciiTheme="minorHAnsi" w:hAnsiTheme="minorHAnsi"/>
          <w:sz w:val="22"/>
          <w:szCs w:val="22"/>
        </w:rPr>
        <w:t>performance levels</w:t>
      </w:r>
      <w:r w:rsidRPr="002A385B">
        <w:rPr>
          <w:rFonts w:asciiTheme="minorHAnsi" w:hAnsiTheme="minorHAnsi"/>
          <w:sz w:val="22"/>
          <w:szCs w:val="22"/>
        </w:rPr>
        <w:t xml:space="preserve"> in a manner that is closely aligned with the ad hominem promotion</w:t>
      </w:r>
      <w:r w:rsidR="002A385B" w:rsidRPr="002A385B">
        <w:rPr>
          <w:rFonts w:asciiTheme="minorHAnsi" w:hAnsiTheme="minorHAnsi"/>
          <w:sz w:val="22"/>
          <w:szCs w:val="22"/>
        </w:rPr>
        <w:t xml:space="preserve">, thus making it clear that </w:t>
      </w:r>
      <w:r w:rsidR="00B16CA6" w:rsidRPr="002A385B">
        <w:rPr>
          <w:rFonts w:asciiTheme="minorHAnsi" w:hAnsiTheme="minorHAnsi"/>
          <w:sz w:val="22"/>
          <w:szCs w:val="22"/>
        </w:rPr>
        <w:t>advancement through promotion, or reward</w:t>
      </w:r>
      <w:r w:rsidR="002A385B">
        <w:rPr>
          <w:rFonts w:asciiTheme="minorHAnsi" w:hAnsiTheme="minorHAnsi"/>
          <w:sz w:val="22"/>
          <w:szCs w:val="22"/>
        </w:rPr>
        <w:t>, for example</w:t>
      </w:r>
      <w:r w:rsidR="00B16CA6" w:rsidRPr="002A385B">
        <w:rPr>
          <w:rFonts w:asciiTheme="minorHAnsi" w:hAnsiTheme="minorHAnsi"/>
          <w:sz w:val="22"/>
          <w:szCs w:val="22"/>
        </w:rPr>
        <w:t xml:space="preserve"> through the receipt of a merit award, will require performance at levels considerably higher than </w:t>
      </w:r>
      <w:r w:rsidR="002A385B">
        <w:rPr>
          <w:rFonts w:asciiTheme="minorHAnsi" w:hAnsiTheme="minorHAnsi"/>
          <w:sz w:val="22"/>
          <w:szCs w:val="22"/>
        </w:rPr>
        <w:t>the expected levels.</w:t>
      </w:r>
      <w:r w:rsidR="00B22791">
        <w:rPr>
          <w:rFonts w:asciiTheme="minorHAnsi" w:hAnsiTheme="minorHAnsi"/>
          <w:sz w:val="22"/>
          <w:szCs w:val="22"/>
        </w:rPr>
        <w:t xml:space="preserve">  A proposed mechanism for the reward of excellent performance is detailed in the document.</w:t>
      </w:r>
    </w:p>
    <w:p w:rsidR="0000694A" w:rsidRDefault="002A385B" w:rsidP="00C71EBF">
      <w:pPr>
        <w:pStyle w:val="BodyText"/>
        <w:spacing w:before="120" w:after="120" w:line="320" w:lineRule="atLeast"/>
        <w:rPr>
          <w:rFonts w:ascii="Calibri" w:hAnsi="Calibri"/>
          <w:szCs w:val="22"/>
        </w:rPr>
      </w:pPr>
      <w:r>
        <w:rPr>
          <w:rFonts w:ascii="Calibri" w:hAnsi="Calibri"/>
          <w:szCs w:val="22"/>
        </w:rPr>
        <w:t xml:space="preserve">The </w:t>
      </w:r>
      <w:r w:rsidR="0000694A">
        <w:rPr>
          <w:rFonts w:ascii="Calibri" w:hAnsi="Calibri"/>
          <w:szCs w:val="22"/>
        </w:rPr>
        <w:t>recomme</w:t>
      </w:r>
      <w:r>
        <w:rPr>
          <w:rFonts w:ascii="Calibri" w:hAnsi="Calibri"/>
          <w:szCs w:val="22"/>
        </w:rPr>
        <w:t xml:space="preserve">ndations in this report also include </w:t>
      </w:r>
      <w:r w:rsidR="0000694A">
        <w:rPr>
          <w:rFonts w:ascii="Calibri" w:hAnsi="Calibri"/>
          <w:szCs w:val="22"/>
        </w:rPr>
        <w:t xml:space="preserve">a general </w:t>
      </w:r>
      <w:proofErr w:type="spellStart"/>
      <w:r w:rsidR="0000694A">
        <w:rPr>
          <w:rFonts w:ascii="Calibri" w:hAnsi="Calibri"/>
          <w:szCs w:val="22"/>
        </w:rPr>
        <w:t>formalisation</w:t>
      </w:r>
      <w:proofErr w:type="spellEnd"/>
      <w:r w:rsidR="0000694A">
        <w:rPr>
          <w:rFonts w:ascii="Calibri" w:hAnsi="Calibri"/>
          <w:szCs w:val="22"/>
        </w:rPr>
        <w:t xml:space="preserve"> and streamlining of the system of performance assessment and management</w:t>
      </w:r>
      <w:r w:rsidR="006D1DD5">
        <w:rPr>
          <w:rFonts w:ascii="Calibri" w:hAnsi="Calibri"/>
          <w:szCs w:val="22"/>
        </w:rPr>
        <w:t xml:space="preserve"> of academic staff, including staff on probation</w:t>
      </w:r>
      <w:r w:rsidR="0000694A">
        <w:rPr>
          <w:rFonts w:ascii="Calibri" w:hAnsi="Calibri"/>
          <w:szCs w:val="22"/>
        </w:rPr>
        <w:t>, with the role of heads of department being clarified considerably</w:t>
      </w:r>
      <w:r>
        <w:rPr>
          <w:rFonts w:ascii="Calibri" w:hAnsi="Calibri"/>
          <w:szCs w:val="22"/>
        </w:rPr>
        <w:t>.</w:t>
      </w:r>
    </w:p>
    <w:p w:rsidR="0000694A" w:rsidRDefault="0000694A" w:rsidP="00C71EBF">
      <w:pPr>
        <w:pStyle w:val="BodyText"/>
        <w:spacing w:before="120" w:after="120" w:line="320" w:lineRule="atLeast"/>
        <w:rPr>
          <w:rFonts w:ascii="Calibri" w:hAnsi="Calibri"/>
          <w:b/>
          <w:smallCaps/>
          <w:sz w:val="24"/>
          <w:lang w:val="en-GB"/>
        </w:rPr>
      </w:pPr>
    </w:p>
    <w:p w:rsidR="006109A1" w:rsidRPr="005E17D2" w:rsidRDefault="006109A1" w:rsidP="008A6EB5">
      <w:pPr>
        <w:pStyle w:val="ListParagraph"/>
        <w:numPr>
          <w:ilvl w:val="0"/>
          <w:numId w:val="11"/>
        </w:numPr>
        <w:spacing w:before="120" w:after="120" w:line="320" w:lineRule="atLeast"/>
        <w:jc w:val="both"/>
        <w:rPr>
          <w:rFonts w:ascii="Calibri" w:hAnsi="Calibri"/>
          <w:b/>
          <w:smallCaps/>
          <w:lang w:val="en-GB"/>
        </w:rPr>
      </w:pPr>
      <w:r w:rsidRPr="008A6EB5">
        <w:rPr>
          <w:rFonts w:ascii="Calibri" w:hAnsi="Calibri"/>
          <w:b/>
          <w:smallCaps/>
          <w:lang w:val="en-GB"/>
        </w:rPr>
        <w:t>Findings and recommendations of the Review Task Team</w:t>
      </w:r>
    </w:p>
    <w:p w:rsidR="00C71EBF" w:rsidRDefault="00437C05" w:rsidP="00C71EBF">
      <w:pPr>
        <w:spacing w:before="120" w:after="120" w:line="320" w:lineRule="atLeast"/>
        <w:jc w:val="both"/>
        <w:rPr>
          <w:rFonts w:ascii="Calibri" w:hAnsi="Calibri" w:cs="Arial"/>
          <w:b/>
          <w:i/>
          <w:sz w:val="22"/>
          <w:szCs w:val="22"/>
          <w:lang w:val="en-GB"/>
        </w:rPr>
      </w:pPr>
      <w:r w:rsidRPr="00DE3538">
        <w:rPr>
          <w:rFonts w:ascii="Calibri" w:hAnsi="Calibri" w:cs="Arial"/>
          <w:sz w:val="22"/>
          <w:szCs w:val="22"/>
          <w:lang w:val="en-GB"/>
        </w:rPr>
        <w:t xml:space="preserve">The Task Team </w:t>
      </w:r>
      <w:r w:rsidR="00166470">
        <w:rPr>
          <w:rFonts w:ascii="Calibri" w:hAnsi="Calibri" w:cs="Arial"/>
          <w:sz w:val="22"/>
          <w:szCs w:val="22"/>
          <w:lang w:val="en-GB"/>
        </w:rPr>
        <w:t xml:space="preserve">consulted widely </w:t>
      </w:r>
      <w:r w:rsidR="00166470" w:rsidRPr="00DE3538">
        <w:rPr>
          <w:rFonts w:ascii="Calibri" w:hAnsi="Calibri" w:cs="Arial"/>
          <w:sz w:val="22"/>
          <w:szCs w:val="22"/>
          <w:lang w:val="en-GB"/>
        </w:rPr>
        <w:t>on the current remuneration policy and system</w:t>
      </w:r>
      <w:r w:rsidR="00166470">
        <w:rPr>
          <w:rFonts w:ascii="Calibri" w:hAnsi="Calibri" w:cs="Arial"/>
          <w:sz w:val="22"/>
          <w:szCs w:val="22"/>
          <w:lang w:val="en-GB"/>
        </w:rPr>
        <w:t xml:space="preserve">, soliciting and receiving comment </w:t>
      </w:r>
      <w:r w:rsidRPr="00DE3538">
        <w:rPr>
          <w:rFonts w:ascii="Calibri" w:hAnsi="Calibri" w:cs="Arial"/>
          <w:sz w:val="22"/>
          <w:szCs w:val="22"/>
          <w:lang w:val="en-GB"/>
        </w:rPr>
        <w:t>from academic staff members</w:t>
      </w:r>
      <w:r w:rsidR="00B537E1">
        <w:rPr>
          <w:rFonts w:ascii="Calibri" w:hAnsi="Calibri" w:cs="Arial"/>
          <w:sz w:val="22"/>
          <w:szCs w:val="22"/>
          <w:lang w:val="en-GB"/>
        </w:rPr>
        <w:t>, including heads of department,</w:t>
      </w:r>
      <w:r w:rsidR="008A6EB5">
        <w:rPr>
          <w:rFonts w:ascii="Calibri" w:hAnsi="Calibri" w:cs="Arial"/>
          <w:sz w:val="22"/>
          <w:szCs w:val="22"/>
          <w:lang w:val="en-GB"/>
        </w:rPr>
        <w:t xml:space="preserve"> deans, and t</w:t>
      </w:r>
      <w:r w:rsidRPr="00DE3538">
        <w:rPr>
          <w:rFonts w:ascii="Calibri" w:hAnsi="Calibri" w:cs="Arial"/>
          <w:sz w:val="22"/>
          <w:szCs w:val="22"/>
          <w:lang w:val="en-GB"/>
        </w:rPr>
        <w:t>he Academics’ Union</w:t>
      </w:r>
      <w:r w:rsidR="008A6EB5">
        <w:rPr>
          <w:rFonts w:ascii="Calibri" w:hAnsi="Calibri" w:cs="Arial"/>
          <w:sz w:val="22"/>
          <w:szCs w:val="22"/>
          <w:lang w:val="en-GB"/>
        </w:rPr>
        <w:t xml:space="preserve">. </w:t>
      </w:r>
      <w:r w:rsidR="00B537E1">
        <w:rPr>
          <w:rFonts w:ascii="Calibri" w:hAnsi="Calibri" w:cs="Arial"/>
          <w:sz w:val="22"/>
          <w:szCs w:val="22"/>
          <w:lang w:val="en-GB"/>
        </w:rPr>
        <w:t xml:space="preserve">Earlier versions of </w:t>
      </w:r>
      <w:r w:rsidR="00166470">
        <w:rPr>
          <w:rFonts w:ascii="Calibri" w:hAnsi="Calibri" w:cs="Arial"/>
          <w:sz w:val="22"/>
          <w:szCs w:val="22"/>
          <w:lang w:val="en-GB"/>
        </w:rPr>
        <w:t xml:space="preserve">the review report </w:t>
      </w:r>
      <w:r w:rsidR="00B537E1">
        <w:rPr>
          <w:rFonts w:ascii="Calibri" w:hAnsi="Calibri" w:cs="Arial"/>
          <w:sz w:val="22"/>
          <w:szCs w:val="22"/>
          <w:lang w:val="en-GB"/>
        </w:rPr>
        <w:t xml:space="preserve">have been presented to </w:t>
      </w:r>
      <w:r w:rsidR="00166470">
        <w:rPr>
          <w:rFonts w:ascii="Calibri" w:hAnsi="Calibri" w:cs="Arial"/>
          <w:sz w:val="22"/>
          <w:szCs w:val="22"/>
          <w:lang w:val="en-GB"/>
        </w:rPr>
        <w:t>faculty boards, to the deans</w:t>
      </w:r>
      <w:r w:rsidR="00B537E1">
        <w:rPr>
          <w:rFonts w:ascii="Calibri" w:hAnsi="Calibri" w:cs="Arial"/>
          <w:sz w:val="22"/>
          <w:szCs w:val="22"/>
          <w:lang w:val="en-GB"/>
        </w:rPr>
        <w:t>, and to Senate</w:t>
      </w:r>
      <w:r w:rsidR="00166470">
        <w:rPr>
          <w:rFonts w:ascii="Calibri" w:hAnsi="Calibri" w:cs="Arial"/>
          <w:sz w:val="22"/>
          <w:szCs w:val="22"/>
          <w:lang w:val="en-GB"/>
        </w:rPr>
        <w:t xml:space="preserve">. </w:t>
      </w:r>
      <w:r w:rsidR="008A6EB5">
        <w:rPr>
          <w:rFonts w:ascii="Calibri" w:hAnsi="Calibri" w:cs="Arial"/>
          <w:sz w:val="22"/>
          <w:szCs w:val="22"/>
          <w:lang w:val="en-GB"/>
        </w:rPr>
        <w:t>The body of the report</w:t>
      </w:r>
      <w:r w:rsidR="00AE6571">
        <w:rPr>
          <w:rFonts w:ascii="Calibri" w:hAnsi="Calibri" w:cs="Arial"/>
          <w:sz w:val="22"/>
          <w:szCs w:val="22"/>
          <w:lang w:val="en-GB"/>
        </w:rPr>
        <w:t xml:space="preserve"> </w:t>
      </w:r>
      <w:r w:rsidR="008A6EB5">
        <w:rPr>
          <w:rFonts w:ascii="Calibri" w:hAnsi="Calibri" w:cs="Arial"/>
          <w:sz w:val="22"/>
          <w:szCs w:val="22"/>
          <w:lang w:val="en-GB"/>
        </w:rPr>
        <w:t>identifies</w:t>
      </w:r>
      <w:r w:rsidR="00AD1541">
        <w:rPr>
          <w:rFonts w:ascii="Calibri" w:hAnsi="Calibri" w:cs="Arial"/>
          <w:sz w:val="22"/>
          <w:szCs w:val="22"/>
          <w:lang w:val="en-GB"/>
        </w:rPr>
        <w:t xml:space="preserve"> those r</w:t>
      </w:r>
      <w:r w:rsidR="00AE6571">
        <w:rPr>
          <w:rFonts w:ascii="Calibri" w:hAnsi="Calibri" w:cs="Arial"/>
          <w:sz w:val="22"/>
          <w:szCs w:val="22"/>
          <w:lang w:val="en-GB"/>
        </w:rPr>
        <w:t xml:space="preserve">ecommendations </w:t>
      </w:r>
      <w:r w:rsidR="00AD1541">
        <w:rPr>
          <w:rFonts w:ascii="Calibri" w:hAnsi="Calibri" w:cs="Arial"/>
          <w:sz w:val="22"/>
          <w:szCs w:val="22"/>
          <w:lang w:val="en-GB"/>
        </w:rPr>
        <w:t xml:space="preserve">which </w:t>
      </w:r>
      <w:r w:rsidR="00B537E1">
        <w:rPr>
          <w:rFonts w:ascii="Calibri" w:hAnsi="Calibri" w:cs="Arial"/>
          <w:sz w:val="22"/>
          <w:szCs w:val="22"/>
          <w:lang w:val="en-GB"/>
        </w:rPr>
        <w:t xml:space="preserve">were </w:t>
      </w:r>
      <w:r w:rsidR="00AE6571">
        <w:rPr>
          <w:rFonts w:ascii="Calibri" w:hAnsi="Calibri" w:cs="Arial"/>
          <w:sz w:val="22"/>
          <w:szCs w:val="22"/>
          <w:lang w:val="en-GB"/>
        </w:rPr>
        <w:t>approved by Senate</w:t>
      </w:r>
      <w:r w:rsidR="00B537E1">
        <w:rPr>
          <w:rFonts w:ascii="Calibri" w:hAnsi="Calibri" w:cs="Arial"/>
          <w:sz w:val="22"/>
          <w:szCs w:val="22"/>
          <w:lang w:val="en-GB"/>
        </w:rPr>
        <w:t xml:space="preserve"> at its May 2009 meeting.</w:t>
      </w:r>
    </w:p>
    <w:p w:rsidR="00B537E1" w:rsidRPr="00B537E1" w:rsidRDefault="00B537E1" w:rsidP="00C71EBF">
      <w:pPr>
        <w:spacing w:before="120" w:after="120" w:line="320" w:lineRule="atLeast"/>
        <w:jc w:val="both"/>
        <w:rPr>
          <w:rFonts w:ascii="Calibri" w:hAnsi="Calibri" w:cs="Arial"/>
          <w:b/>
          <w:i/>
          <w:sz w:val="22"/>
          <w:szCs w:val="22"/>
          <w:lang w:val="en-GB"/>
        </w:rPr>
      </w:pPr>
      <w:r>
        <w:rPr>
          <w:rFonts w:ascii="Calibri" w:hAnsi="Calibri" w:cs="Arial"/>
          <w:b/>
          <w:i/>
          <w:sz w:val="22"/>
          <w:szCs w:val="22"/>
          <w:lang w:val="en-GB"/>
        </w:rPr>
        <w:t>Recommendation on performance management</w:t>
      </w:r>
    </w:p>
    <w:p w:rsidR="0061420C" w:rsidRDefault="00AD1541" w:rsidP="00C71EBF">
      <w:pPr>
        <w:spacing w:before="120" w:after="120" w:line="320" w:lineRule="atLeast"/>
        <w:jc w:val="both"/>
        <w:rPr>
          <w:rFonts w:ascii="Calibri" w:hAnsi="Calibri"/>
          <w:sz w:val="22"/>
          <w:szCs w:val="22"/>
          <w:lang w:val="en-GB"/>
        </w:rPr>
      </w:pPr>
      <w:r>
        <w:rPr>
          <w:rFonts w:ascii="Calibri" w:hAnsi="Calibri"/>
          <w:sz w:val="22"/>
          <w:szCs w:val="22"/>
          <w:lang w:val="en-GB"/>
        </w:rPr>
        <w:t>T</w:t>
      </w:r>
      <w:r w:rsidR="00727657" w:rsidRPr="00DE3538">
        <w:rPr>
          <w:rFonts w:ascii="Calibri" w:hAnsi="Calibri"/>
          <w:sz w:val="22"/>
          <w:szCs w:val="22"/>
          <w:lang w:val="en-GB"/>
        </w:rPr>
        <w:t xml:space="preserve">he process of consultation </w:t>
      </w:r>
      <w:r>
        <w:rPr>
          <w:rFonts w:ascii="Calibri" w:hAnsi="Calibri"/>
          <w:sz w:val="22"/>
          <w:szCs w:val="22"/>
          <w:lang w:val="en-GB"/>
        </w:rPr>
        <w:t xml:space="preserve">has highlighted a generally held view that </w:t>
      </w:r>
      <w:r w:rsidR="00727657" w:rsidRPr="00DE3538">
        <w:rPr>
          <w:rFonts w:ascii="Calibri" w:hAnsi="Calibri"/>
          <w:sz w:val="22"/>
          <w:szCs w:val="22"/>
          <w:lang w:val="en-GB"/>
        </w:rPr>
        <w:t xml:space="preserve">the current </w:t>
      </w:r>
      <w:proofErr w:type="spellStart"/>
      <w:r w:rsidR="00727657" w:rsidRPr="00DE3538">
        <w:rPr>
          <w:rFonts w:ascii="Calibri" w:hAnsi="Calibri"/>
          <w:sz w:val="22"/>
          <w:szCs w:val="22"/>
          <w:lang w:val="en-GB"/>
        </w:rPr>
        <w:t>RFJ</w:t>
      </w:r>
      <w:proofErr w:type="spellEnd"/>
      <w:r w:rsidR="00727657" w:rsidRPr="00DE3538">
        <w:rPr>
          <w:rFonts w:ascii="Calibri" w:hAnsi="Calibri"/>
          <w:sz w:val="22"/>
          <w:szCs w:val="22"/>
          <w:lang w:val="en-GB"/>
        </w:rPr>
        <w:t xml:space="preserve"> system is an effective </w:t>
      </w:r>
      <w:r w:rsidR="0061420C">
        <w:rPr>
          <w:rFonts w:ascii="Calibri" w:hAnsi="Calibri"/>
          <w:sz w:val="22"/>
          <w:szCs w:val="22"/>
          <w:lang w:val="en-GB"/>
        </w:rPr>
        <w:t>to</w:t>
      </w:r>
      <w:r w:rsidR="00727657" w:rsidRPr="00DE3538">
        <w:rPr>
          <w:rFonts w:ascii="Calibri" w:hAnsi="Calibri"/>
          <w:sz w:val="22"/>
          <w:szCs w:val="22"/>
          <w:lang w:val="en-GB"/>
        </w:rPr>
        <w:t xml:space="preserve">ol which conveys successfully to staff the scope and quality of activities that </w:t>
      </w:r>
      <w:r w:rsidR="000A1899">
        <w:rPr>
          <w:rFonts w:ascii="Calibri" w:hAnsi="Calibri"/>
          <w:sz w:val="22"/>
          <w:szCs w:val="22"/>
          <w:lang w:val="en-GB"/>
        </w:rPr>
        <w:t>sh</w:t>
      </w:r>
      <w:r w:rsidR="00727657" w:rsidRPr="00DE3538">
        <w:rPr>
          <w:rFonts w:ascii="Calibri" w:hAnsi="Calibri"/>
          <w:sz w:val="22"/>
          <w:szCs w:val="22"/>
          <w:lang w:val="en-GB"/>
        </w:rPr>
        <w:t>ould characterise the work of a</w:t>
      </w:r>
      <w:r w:rsidR="000A1899">
        <w:rPr>
          <w:rFonts w:ascii="Calibri" w:hAnsi="Calibri"/>
          <w:sz w:val="22"/>
          <w:szCs w:val="22"/>
          <w:lang w:val="en-GB"/>
        </w:rPr>
        <w:t xml:space="preserve">n </w:t>
      </w:r>
      <w:r w:rsidR="00727657" w:rsidRPr="00DE3538">
        <w:rPr>
          <w:rFonts w:ascii="Calibri" w:hAnsi="Calibri"/>
          <w:sz w:val="22"/>
          <w:szCs w:val="22"/>
          <w:lang w:val="en-GB"/>
        </w:rPr>
        <w:t xml:space="preserve">academic staff member. </w:t>
      </w:r>
    </w:p>
    <w:p w:rsidR="00AF099D" w:rsidRDefault="008A6EB5" w:rsidP="00C71EBF">
      <w:pPr>
        <w:spacing w:before="120" w:after="120" w:line="320" w:lineRule="atLeast"/>
        <w:jc w:val="both"/>
        <w:rPr>
          <w:rFonts w:ascii="Calibri" w:hAnsi="Calibri"/>
          <w:i/>
          <w:sz w:val="22"/>
          <w:szCs w:val="22"/>
          <w:lang w:val="en-GB"/>
        </w:rPr>
      </w:pPr>
      <w:r>
        <w:rPr>
          <w:rFonts w:ascii="Calibri" w:hAnsi="Calibri"/>
          <w:sz w:val="22"/>
          <w:szCs w:val="22"/>
          <w:lang w:val="en-GB"/>
        </w:rPr>
        <w:t>The Task T</w:t>
      </w:r>
      <w:r w:rsidR="00727657" w:rsidRPr="00DE3538">
        <w:rPr>
          <w:rFonts w:ascii="Calibri" w:hAnsi="Calibri"/>
          <w:sz w:val="22"/>
          <w:szCs w:val="22"/>
          <w:lang w:val="en-GB"/>
        </w:rPr>
        <w:t xml:space="preserve">eam </w:t>
      </w:r>
      <w:r w:rsidR="00727657" w:rsidRPr="006109A1">
        <w:rPr>
          <w:rFonts w:ascii="Calibri" w:hAnsi="Calibri"/>
          <w:b/>
          <w:sz w:val="22"/>
          <w:szCs w:val="22"/>
          <w:lang w:val="en-GB"/>
        </w:rPr>
        <w:t xml:space="preserve">recommends </w:t>
      </w:r>
      <w:r w:rsidR="00727657" w:rsidRPr="00DE3538">
        <w:rPr>
          <w:rFonts w:ascii="Calibri" w:hAnsi="Calibri"/>
          <w:sz w:val="22"/>
          <w:szCs w:val="22"/>
          <w:lang w:val="en-GB"/>
        </w:rPr>
        <w:t>that the remuneration policy continue to be based on a system of performance management. Furthermore, for the purpose of setting objectives and assessing performance, the standard academic position should constitute a combination of responsibilities related to teaching and learning, research, administration and leadership, and, in most cases, social responsiveness</w:t>
      </w:r>
      <w:r w:rsidR="002A385B">
        <w:rPr>
          <w:rFonts w:ascii="Calibri" w:hAnsi="Calibri"/>
          <w:i/>
          <w:sz w:val="22"/>
          <w:szCs w:val="22"/>
          <w:lang w:val="en-GB"/>
        </w:rPr>
        <w:t>.</w:t>
      </w:r>
      <w:r w:rsidR="00B537E1">
        <w:rPr>
          <w:rFonts w:ascii="Calibri" w:hAnsi="Calibri"/>
          <w:i/>
          <w:sz w:val="22"/>
          <w:szCs w:val="22"/>
          <w:lang w:val="en-GB"/>
        </w:rPr>
        <w:t xml:space="preserve"> </w:t>
      </w:r>
    </w:p>
    <w:p w:rsidR="00614C4B" w:rsidRPr="00DE3538" w:rsidRDefault="00614C4B" w:rsidP="00C71EBF">
      <w:pPr>
        <w:spacing w:before="120" w:after="120" w:line="320" w:lineRule="atLeast"/>
        <w:jc w:val="both"/>
        <w:rPr>
          <w:rFonts w:ascii="Calibri" w:hAnsi="Calibri"/>
          <w:sz w:val="22"/>
          <w:szCs w:val="22"/>
          <w:lang w:val="en-GB"/>
        </w:rPr>
      </w:pPr>
    </w:p>
    <w:p w:rsidR="008A6EB5" w:rsidRPr="005E17D2" w:rsidRDefault="00BF3B5E" w:rsidP="00C71EBF">
      <w:pPr>
        <w:spacing w:before="120" w:after="120" w:line="320" w:lineRule="atLeast"/>
        <w:jc w:val="both"/>
        <w:rPr>
          <w:rFonts w:ascii="Calibri" w:hAnsi="Calibri"/>
          <w:b/>
          <w:smallCaps/>
          <w:lang w:val="en-GB"/>
        </w:rPr>
      </w:pPr>
      <w:r>
        <w:rPr>
          <w:rFonts w:ascii="Calibri" w:hAnsi="Calibri"/>
          <w:b/>
          <w:smallCaps/>
          <w:lang w:val="en-GB"/>
        </w:rPr>
        <w:t>4</w:t>
      </w:r>
      <w:r w:rsidR="00AF099D">
        <w:rPr>
          <w:rFonts w:ascii="Calibri" w:hAnsi="Calibri"/>
          <w:b/>
          <w:smallCaps/>
          <w:lang w:val="en-GB"/>
        </w:rPr>
        <w:t xml:space="preserve">.   </w:t>
      </w:r>
      <w:r w:rsidR="00D02C3F" w:rsidRPr="00AF099D">
        <w:rPr>
          <w:rFonts w:ascii="Calibri" w:hAnsi="Calibri"/>
          <w:b/>
          <w:smallCaps/>
          <w:lang w:val="en-GB"/>
        </w:rPr>
        <w:t>Recommendations on p</w:t>
      </w:r>
      <w:r w:rsidR="00380BF5" w:rsidRPr="00AF099D">
        <w:rPr>
          <w:rFonts w:ascii="Calibri" w:hAnsi="Calibri"/>
          <w:b/>
          <w:smallCaps/>
          <w:lang w:val="en-GB"/>
        </w:rPr>
        <w:t xml:space="preserve">erformance criteria </w:t>
      </w:r>
      <w:r w:rsidR="00D02C3F" w:rsidRPr="00AF099D">
        <w:rPr>
          <w:rFonts w:ascii="Calibri" w:hAnsi="Calibri"/>
          <w:b/>
          <w:smallCaps/>
          <w:lang w:val="en-GB"/>
        </w:rPr>
        <w:t>and objectives</w:t>
      </w:r>
    </w:p>
    <w:p w:rsidR="00437C05" w:rsidRDefault="00437C05" w:rsidP="00C71EBF">
      <w:pPr>
        <w:spacing w:before="120" w:after="120" w:line="320" w:lineRule="atLeast"/>
        <w:jc w:val="both"/>
        <w:rPr>
          <w:rFonts w:ascii="Calibri" w:hAnsi="Calibri"/>
          <w:sz w:val="22"/>
          <w:szCs w:val="22"/>
        </w:rPr>
      </w:pPr>
      <w:r w:rsidRPr="0061420C">
        <w:rPr>
          <w:rFonts w:ascii="Calibri" w:hAnsi="Calibri"/>
          <w:b/>
          <w:sz w:val="22"/>
          <w:szCs w:val="22"/>
        </w:rPr>
        <w:t>Flexibility in performance criteria</w:t>
      </w:r>
      <w:r w:rsidRPr="00DE3538">
        <w:rPr>
          <w:rFonts w:ascii="Calibri" w:hAnsi="Calibri"/>
          <w:sz w:val="22"/>
          <w:szCs w:val="22"/>
        </w:rPr>
        <w:t xml:space="preserve"> – aimed at enabling the university to carry out all its core academic responsibilities effectively – has emerged as the central criteria-related issue. Performance criteria should reflect the values and the full range of purposes of the university, and should therefore be in line with the university’s main strategic goals. Ins</w:t>
      </w:r>
      <w:r w:rsidR="00A42ADA">
        <w:rPr>
          <w:rFonts w:ascii="Calibri" w:hAnsi="Calibri"/>
          <w:sz w:val="22"/>
          <w:szCs w:val="22"/>
        </w:rPr>
        <w:t>o</w:t>
      </w:r>
      <w:r w:rsidRPr="00DE3538">
        <w:rPr>
          <w:rFonts w:ascii="Calibri" w:hAnsi="Calibri"/>
          <w:sz w:val="22"/>
          <w:szCs w:val="22"/>
        </w:rPr>
        <w:t>far</w:t>
      </w:r>
      <w:r w:rsidR="00A42ADA">
        <w:rPr>
          <w:rFonts w:ascii="Calibri" w:hAnsi="Calibri"/>
          <w:sz w:val="22"/>
          <w:szCs w:val="22"/>
        </w:rPr>
        <w:t xml:space="preserve"> </w:t>
      </w:r>
      <w:r w:rsidRPr="00DE3538">
        <w:rPr>
          <w:rFonts w:ascii="Calibri" w:hAnsi="Calibri"/>
          <w:sz w:val="22"/>
          <w:szCs w:val="22"/>
        </w:rPr>
        <w:t>as different faculties have different goals and priorities (within the broader institutional ones), and manifestations of scholarship, there need to be faculty-specific criteria that reflect these differences.</w:t>
      </w:r>
    </w:p>
    <w:p w:rsidR="00AD1541" w:rsidRPr="00C7588B" w:rsidRDefault="00AD1541"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 xml:space="preserve">The purpose of a </w:t>
      </w:r>
      <w:r>
        <w:rPr>
          <w:rFonts w:asciiTheme="minorHAnsi" w:hAnsiTheme="minorHAnsi"/>
          <w:color w:val="000000"/>
          <w:sz w:val="22"/>
          <w:szCs w:val="22"/>
        </w:rPr>
        <w:t xml:space="preserve">performance </w:t>
      </w:r>
      <w:r w:rsidRPr="00C7588B">
        <w:rPr>
          <w:rFonts w:asciiTheme="minorHAnsi" w:hAnsiTheme="minorHAnsi"/>
          <w:color w:val="000000"/>
          <w:sz w:val="22"/>
          <w:szCs w:val="22"/>
        </w:rPr>
        <w:t>asse</w:t>
      </w:r>
      <w:r w:rsidR="008A6EB5">
        <w:rPr>
          <w:rFonts w:asciiTheme="minorHAnsi" w:hAnsiTheme="minorHAnsi"/>
          <w:color w:val="000000"/>
          <w:sz w:val="22"/>
          <w:szCs w:val="22"/>
        </w:rPr>
        <w:t>ssment is to ensure that expected</w:t>
      </w:r>
      <w:r w:rsidRPr="00C7588B">
        <w:rPr>
          <w:rFonts w:asciiTheme="minorHAnsi" w:hAnsiTheme="minorHAnsi"/>
          <w:color w:val="000000"/>
          <w:sz w:val="22"/>
          <w:szCs w:val="22"/>
        </w:rPr>
        <w:t xml:space="preserve"> standards are met and to promote good scholarship, teaching and social responsiveness activities</w:t>
      </w:r>
      <w:r w:rsidR="008A6EB5">
        <w:rPr>
          <w:rFonts w:asciiTheme="minorHAnsi" w:hAnsiTheme="minorHAnsi"/>
          <w:color w:val="000000"/>
          <w:sz w:val="22"/>
          <w:szCs w:val="22"/>
        </w:rPr>
        <w:t>.</w:t>
      </w:r>
      <w:r w:rsidRPr="00C7588B">
        <w:rPr>
          <w:rFonts w:asciiTheme="minorHAnsi" w:hAnsiTheme="minorHAnsi"/>
          <w:color w:val="000000"/>
          <w:sz w:val="22"/>
          <w:szCs w:val="22"/>
        </w:rPr>
        <w:t xml:space="preserve"> </w:t>
      </w:r>
    </w:p>
    <w:p w:rsidR="00380BF5" w:rsidRPr="00DE3538" w:rsidRDefault="00437C05" w:rsidP="00C71EBF">
      <w:pPr>
        <w:spacing w:before="120" w:after="120" w:line="320" w:lineRule="atLeast"/>
        <w:jc w:val="both"/>
        <w:rPr>
          <w:rFonts w:ascii="Calibri" w:hAnsi="Calibri"/>
          <w:sz w:val="22"/>
          <w:szCs w:val="22"/>
        </w:rPr>
      </w:pPr>
      <w:r w:rsidRPr="00DE3538">
        <w:rPr>
          <w:rFonts w:ascii="Calibri" w:hAnsi="Calibri"/>
          <w:sz w:val="22"/>
          <w:szCs w:val="22"/>
        </w:rPr>
        <w:t xml:space="preserve">While the importance of disciplinary expertise is </w:t>
      </w:r>
      <w:r w:rsidR="00B537E1">
        <w:rPr>
          <w:rFonts w:ascii="Calibri" w:hAnsi="Calibri"/>
          <w:sz w:val="22"/>
          <w:szCs w:val="22"/>
        </w:rPr>
        <w:t>acknowledged and confirmed</w:t>
      </w:r>
      <w:r w:rsidRPr="00DE3538">
        <w:rPr>
          <w:rFonts w:ascii="Calibri" w:hAnsi="Calibri"/>
          <w:sz w:val="22"/>
          <w:szCs w:val="22"/>
        </w:rPr>
        <w:t xml:space="preserve">, systematic knowledge of and competencies in </w:t>
      </w:r>
      <w:r w:rsidR="000A1899">
        <w:rPr>
          <w:rFonts w:ascii="Calibri" w:hAnsi="Calibri"/>
          <w:sz w:val="22"/>
          <w:szCs w:val="22"/>
        </w:rPr>
        <w:t xml:space="preserve">all </w:t>
      </w:r>
      <w:r w:rsidRPr="00DE3538">
        <w:rPr>
          <w:rFonts w:ascii="Calibri" w:hAnsi="Calibri"/>
          <w:sz w:val="22"/>
          <w:szCs w:val="22"/>
        </w:rPr>
        <w:t xml:space="preserve">the core academic functions are prerequisites for a modern successful university. Not all academic staff </w:t>
      </w:r>
      <w:proofErr w:type="gramStart"/>
      <w:r w:rsidRPr="00DE3538">
        <w:rPr>
          <w:rFonts w:ascii="Calibri" w:hAnsi="Calibri"/>
          <w:sz w:val="22"/>
          <w:szCs w:val="22"/>
        </w:rPr>
        <w:t>have</w:t>
      </w:r>
      <w:proofErr w:type="gramEnd"/>
      <w:r w:rsidRPr="00DE3538">
        <w:rPr>
          <w:rFonts w:ascii="Calibri" w:hAnsi="Calibri"/>
          <w:sz w:val="22"/>
          <w:szCs w:val="22"/>
        </w:rPr>
        <w:t xml:space="preserve"> the same strengths, and many departments and faculties have always relied on differing strengths among their academic staff to enable them to carry out their full range of responsibilities. However, the </w:t>
      </w:r>
      <w:r w:rsidRPr="00DE3538">
        <w:rPr>
          <w:rFonts w:ascii="Calibri" w:hAnsi="Calibri"/>
          <w:sz w:val="22"/>
          <w:szCs w:val="22"/>
        </w:rPr>
        <w:lastRenderedPageBreak/>
        <w:t xml:space="preserve">unitary nature of the current </w:t>
      </w:r>
      <w:proofErr w:type="spellStart"/>
      <w:r w:rsidRPr="00DE3538">
        <w:rPr>
          <w:rFonts w:ascii="Calibri" w:hAnsi="Calibri"/>
          <w:sz w:val="22"/>
          <w:szCs w:val="22"/>
        </w:rPr>
        <w:t>RFJ</w:t>
      </w:r>
      <w:proofErr w:type="spellEnd"/>
      <w:r w:rsidRPr="00DE3538">
        <w:rPr>
          <w:rFonts w:ascii="Calibri" w:hAnsi="Calibri"/>
          <w:sz w:val="22"/>
          <w:szCs w:val="22"/>
        </w:rPr>
        <w:t xml:space="preserve"> criteria has not recognised, let alone supported, the full range of strengths and ‘specialisations’ that are needed. </w:t>
      </w:r>
    </w:p>
    <w:p w:rsidR="00C7588B" w:rsidRDefault="00437C05" w:rsidP="00C71EBF">
      <w:pPr>
        <w:spacing w:before="120" w:after="120" w:line="320" w:lineRule="atLeast"/>
        <w:jc w:val="both"/>
        <w:rPr>
          <w:rFonts w:asciiTheme="minorHAnsi" w:hAnsiTheme="minorHAnsi"/>
          <w:color w:val="000000"/>
          <w:sz w:val="22"/>
          <w:szCs w:val="22"/>
        </w:rPr>
      </w:pPr>
      <w:r w:rsidRPr="00DE3538">
        <w:rPr>
          <w:rFonts w:ascii="Calibri" w:hAnsi="Calibri"/>
          <w:sz w:val="22"/>
          <w:szCs w:val="22"/>
        </w:rPr>
        <w:t xml:space="preserve">The current review </w:t>
      </w:r>
      <w:r w:rsidR="00380BF5" w:rsidRPr="00DE3538">
        <w:rPr>
          <w:rFonts w:ascii="Calibri" w:hAnsi="Calibri"/>
          <w:sz w:val="22"/>
          <w:szCs w:val="22"/>
        </w:rPr>
        <w:t xml:space="preserve">attempts to </w:t>
      </w:r>
      <w:r w:rsidRPr="00DE3538">
        <w:rPr>
          <w:rFonts w:ascii="Calibri" w:hAnsi="Calibri"/>
          <w:sz w:val="22"/>
          <w:szCs w:val="22"/>
        </w:rPr>
        <w:t>correct this position</w:t>
      </w:r>
      <w:r w:rsidR="00380BF5" w:rsidRPr="00DE3538">
        <w:rPr>
          <w:rFonts w:ascii="Calibri" w:hAnsi="Calibri"/>
          <w:sz w:val="22"/>
          <w:szCs w:val="22"/>
        </w:rPr>
        <w:t xml:space="preserve"> by introducing into the composition of workloads of academic staff the </w:t>
      </w:r>
      <w:r w:rsidR="00380BF5" w:rsidRPr="0061420C">
        <w:rPr>
          <w:rFonts w:ascii="Calibri" w:hAnsi="Calibri"/>
          <w:b/>
          <w:sz w:val="22"/>
          <w:szCs w:val="22"/>
        </w:rPr>
        <w:t xml:space="preserve">flexibility to apply differing weights </w:t>
      </w:r>
      <w:r w:rsidR="00380BF5" w:rsidRPr="00DE3538">
        <w:rPr>
          <w:rFonts w:ascii="Calibri" w:hAnsi="Calibri"/>
          <w:sz w:val="22"/>
          <w:szCs w:val="22"/>
        </w:rPr>
        <w:t xml:space="preserve">across the areas of activity. </w:t>
      </w:r>
      <w:r w:rsidR="00AD1541">
        <w:rPr>
          <w:rFonts w:ascii="Calibri" w:hAnsi="Calibri"/>
          <w:sz w:val="22"/>
          <w:szCs w:val="22"/>
        </w:rPr>
        <w:t xml:space="preserve">Provision is made for the </w:t>
      </w:r>
      <w:r w:rsidR="00C7588B" w:rsidRPr="00C7588B">
        <w:rPr>
          <w:rFonts w:asciiTheme="minorHAnsi" w:hAnsiTheme="minorHAnsi"/>
          <w:color w:val="000000"/>
          <w:sz w:val="22"/>
          <w:szCs w:val="22"/>
        </w:rPr>
        <w:t xml:space="preserve">weighting of a staff member’s contribution </w:t>
      </w:r>
      <w:r w:rsidR="00AD1541">
        <w:rPr>
          <w:rFonts w:asciiTheme="minorHAnsi" w:hAnsiTheme="minorHAnsi"/>
          <w:color w:val="000000"/>
          <w:sz w:val="22"/>
          <w:szCs w:val="22"/>
        </w:rPr>
        <w:t xml:space="preserve">to </w:t>
      </w:r>
      <w:r w:rsidR="00C7588B" w:rsidRPr="00C7588B">
        <w:rPr>
          <w:rFonts w:asciiTheme="minorHAnsi" w:hAnsiTheme="minorHAnsi"/>
          <w:color w:val="000000"/>
          <w:sz w:val="22"/>
          <w:szCs w:val="22"/>
        </w:rPr>
        <w:t>vary across the main performance areas</w:t>
      </w:r>
      <w:r w:rsidR="0061420C">
        <w:rPr>
          <w:rFonts w:asciiTheme="minorHAnsi" w:hAnsiTheme="minorHAnsi"/>
          <w:color w:val="000000"/>
          <w:sz w:val="22"/>
          <w:szCs w:val="22"/>
        </w:rPr>
        <w:t>,</w:t>
      </w:r>
      <w:r w:rsidR="00C7588B" w:rsidRPr="00C7588B">
        <w:rPr>
          <w:rFonts w:asciiTheme="minorHAnsi" w:hAnsiTheme="minorHAnsi"/>
          <w:color w:val="000000"/>
          <w:sz w:val="22"/>
          <w:szCs w:val="22"/>
        </w:rPr>
        <w:t xml:space="preserve"> in accordance with departmental (or faculty) needs and the expertise of the staff member. Thus, for example, it may be agreed that a staff member will devote an unusually high proportion of time (for a fixed or indefinite period) to responsibilities such as convening a complex programme or leading substantial curriculum design, with a corresponding reduction in expectation of research production. </w:t>
      </w:r>
      <w:r w:rsidR="00122D39">
        <w:rPr>
          <w:rFonts w:asciiTheme="minorHAnsi" w:hAnsiTheme="minorHAnsi"/>
          <w:color w:val="000000"/>
          <w:sz w:val="22"/>
          <w:szCs w:val="22"/>
        </w:rPr>
        <w:t xml:space="preserve">Similar considerations would apply with respect to a weighting of contributions in favour of research. </w:t>
      </w:r>
      <w:r w:rsidR="00C7588B" w:rsidRPr="00C7588B">
        <w:rPr>
          <w:rFonts w:asciiTheme="minorHAnsi" w:hAnsiTheme="minorHAnsi"/>
          <w:color w:val="000000"/>
          <w:sz w:val="22"/>
          <w:szCs w:val="22"/>
        </w:rPr>
        <w:t xml:space="preserve">Decisions in this regard </w:t>
      </w:r>
      <w:r w:rsidR="0018374C">
        <w:rPr>
          <w:rFonts w:asciiTheme="minorHAnsi" w:hAnsiTheme="minorHAnsi"/>
          <w:color w:val="000000"/>
          <w:sz w:val="22"/>
          <w:szCs w:val="22"/>
        </w:rPr>
        <w:t xml:space="preserve">will however be </w:t>
      </w:r>
      <w:r w:rsidR="00CD1842">
        <w:rPr>
          <w:rFonts w:asciiTheme="minorHAnsi" w:hAnsiTheme="minorHAnsi"/>
          <w:color w:val="000000"/>
          <w:sz w:val="22"/>
          <w:szCs w:val="22"/>
        </w:rPr>
        <w:t>exceptional</w:t>
      </w:r>
      <w:r w:rsidR="0018374C">
        <w:rPr>
          <w:rFonts w:asciiTheme="minorHAnsi" w:hAnsiTheme="minorHAnsi"/>
          <w:color w:val="000000"/>
          <w:sz w:val="22"/>
          <w:szCs w:val="22"/>
        </w:rPr>
        <w:t xml:space="preserve">, will rest with </w:t>
      </w:r>
      <w:r w:rsidR="00C7588B" w:rsidRPr="00C7588B">
        <w:rPr>
          <w:rFonts w:asciiTheme="minorHAnsi" w:hAnsiTheme="minorHAnsi"/>
          <w:color w:val="000000"/>
          <w:sz w:val="22"/>
          <w:szCs w:val="22"/>
        </w:rPr>
        <w:t xml:space="preserve">the </w:t>
      </w:r>
      <w:r w:rsidR="00FA4E69">
        <w:rPr>
          <w:rFonts w:asciiTheme="minorHAnsi" w:hAnsiTheme="minorHAnsi"/>
          <w:color w:val="000000"/>
          <w:sz w:val="22"/>
          <w:szCs w:val="22"/>
        </w:rPr>
        <w:t>h</w:t>
      </w:r>
      <w:r w:rsidR="00C7588B" w:rsidRPr="00C7588B">
        <w:rPr>
          <w:rFonts w:asciiTheme="minorHAnsi" w:hAnsiTheme="minorHAnsi"/>
          <w:color w:val="000000"/>
          <w:sz w:val="22"/>
          <w:szCs w:val="22"/>
        </w:rPr>
        <w:t xml:space="preserve">ead of </w:t>
      </w:r>
      <w:r w:rsidR="00FA4E69">
        <w:rPr>
          <w:rFonts w:asciiTheme="minorHAnsi" w:hAnsiTheme="minorHAnsi"/>
          <w:color w:val="000000"/>
          <w:sz w:val="22"/>
          <w:szCs w:val="22"/>
        </w:rPr>
        <w:t>d</w:t>
      </w:r>
      <w:r w:rsidR="00C7588B" w:rsidRPr="00C7588B">
        <w:rPr>
          <w:rFonts w:asciiTheme="minorHAnsi" w:hAnsiTheme="minorHAnsi"/>
          <w:color w:val="000000"/>
          <w:sz w:val="22"/>
          <w:szCs w:val="22"/>
        </w:rPr>
        <w:t>epartment</w:t>
      </w:r>
      <w:r w:rsidR="0018374C">
        <w:rPr>
          <w:rFonts w:asciiTheme="minorHAnsi" w:hAnsiTheme="minorHAnsi"/>
          <w:color w:val="000000"/>
          <w:sz w:val="22"/>
          <w:szCs w:val="22"/>
        </w:rPr>
        <w:t xml:space="preserve">, and </w:t>
      </w:r>
      <w:r w:rsidR="0018374C" w:rsidRPr="00C7588B">
        <w:rPr>
          <w:rFonts w:asciiTheme="minorHAnsi" w:hAnsiTheme="minorHAnsi"/>
          <w:color w:val="000000"/>
          <w:sz w:val="22"/>
          <w:szCs w:val="22"/>
        </w:rPr>
        <w:t xml:space="preserve">will be conditional on clear operational need as assessed by the </w:t>
      </w:r>
      <w:r w:rsidR="0018374C">
        <w:rPr>
          <w:rFonts w:asciiTheme="minorHAnsi" w:hAnsiTheme="minorHAnsi"/>
          <w:color w:val="000000"/>
          <w:sz w:val="22"/>
          <w:szCs w:val="22"/>
        </w:rPr>
        <w:t>h</w:t>
      </w:r>
      <w:r w:rsidR="0018374C" w:rsidRPr="00C7588B">
        <w:rPr>
          <w:rFonts w:asciiTheme="minorHAnsi" w:hAnsiTheme="minorHAnsi"/>
          <w:color w:val="000000"/>
          <w:sz w:val="22"/>
          <w:szCs w:val="22"/>
        </w:rPr>
        <w:t xml:space="preserve">ead of </w:t>
      </w:r>
      <w:r w:rsidR="0018374C">
        <w:rPr>
          <w:rFonts w:asciiTheme="minorHAnsi" w:hAnsiTheme="minorHAnsi"/>
          <w:color w:val="000000"/>
          <w:sz w:val="22"/>
          <w:szCs w:val="22"/>
        </w:rPr>
        <w:t>d</w:t>
      </w:r>
      <w:r w:rsidR="0018374C" w:rsidRPr="00C7588B">
        <w:rPr>
          <w:rFonts w:asciiTheme="minorHAnsi" w:hAnsiTheme="minorHAnsi"/>
          <w:color w:val="000000"/>
          <w:sz w:val="22"/>
          <w:szCs w:val="22"/>
        </w:rPr>
        <w:t>epartment, on the staff member’s agreement</w:t>
      </w:r>
      <w:r w:rsidR="0018374C">
        <w:rPr>
          <w:rFonts w:asciiTheme="minorHAnsi" w:hAnsiTheme="minorHAnsi"/>
          <w:color w:val="000000"/>
          <w:sz w:val="22"/>
          <w:szCs w:val="22"/>
        </w:rPr>
        <w:t xml:space="preserve">. In contemplating such arrangements, </w:t>
      </w:r>
      <w:r w:rsidR="00C7588B" w:rsidRPr="00C7588B">
        <w:rPr>
          <w:rFonts w:asciiTheme="minorHAnsi" w:hAnsiTheme="minorHAnsi"/>
          <w:color w:val="000000"/>
          <w:sz w:val="22"/>
          <w:szCs w:val="22"/>
        </w:rPr>
        <w:t xml:space="preserve">due consideration must be given to, and the staff member must be consulted on, the possible implications of any significant variation from standard responsibilities for the staff member’s academic career. Any </w:t>
      </w:r>
      <w:r w:rsidR="00A42ADA">
        <w:rPr>
          <w:rFonts w:asciiTheme="minorHAnsi" w:hAnsiTheme="minorHAnsi"/>
          <w:color w:val="000000"/>
          <w:sz w:val="22"/>
          <w:szCs w:val="22"/>
        </w:rPr>
        <w:t>such</w:t>
      </w:r>
      <w:r w:rsidR="00C7588B" w:rsidRPr="00C7588B">
        <w:rPr>
          <w:rFonts w:asciiTheme="minorHAnsi" w:hAnsiTheme="minorHAnsi"/>
          <w:color w:val="000000"/>
          <w:sz w:val="22"/>
          <w:szCs w:val="22"/>
        </w:rPr>
        <w:t xml:space="preserve"> variation from standard responsibilities must be approved by the </w:t>
      </w:r>
      <w:r w:rsidR="00FA4E69">
        <w:rPr>
          <w:rFonts w:asciiTheme="minorHAnsi" w:hAnsiTheme="minorHAnsi"/>
          <w:color w:val="000000"/>
          <w:sz w:val="22"/>
          <w:szCs w:val="22"/>
        </w:rPr>
        <w:t>d</w:t>
      </w:r>
      <w:r w:rsidR="00C7588B" w:rsidRPr="00C7588B">
        <w:rPr>
          <w:rFonts w:asciiTheme="minorHAnsi" w:hAnsiTheme="minorHAnsi"/>
          <w:color w:val="000000"/>
          <w:sz w:val="22"/>
          <w:szCs w:val="22"/>
        </w:rPr>
        <w:t>ean of the relevant faculty.</w:t>
      </w:r>
    </w:p>
    <w:p w:rsidR="000A1899" w:rsidRDefault="00C7588B"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 xml:space="preserve">The criteria </w:t>
      </w:r>
      <w:r w:rsidR="007F2DDE">
        <w:rPr>
          <w:rFonts w:asciiTheme="minorHAnsi" w:hAnsiTheme="minorHAnsi"/>
          <w:color w:val="000000"/>
          <w:sz w:val="22"/>
          <w:szCs w:val="22"/>
        </w:rPr>
        <w:t xml:space="preserve">take the form of a </w:t>
      </w:r>
      <w:r w:rsidR="006E545D">
        <w:rPr>
          <w:rFonts w:asciiTheme="minorHAnsi" w:hAnsiTheme="minorHAnsi"/>
          <w:color w:val="000000"/>
          <w:sz w:val="22"/>
          <w:szCs w:val="22"/>
        </w:rPr>
        <w:t>generic</w:t>
      </w:r>
      <w:r w:rsidR="007F2DDE">
        <w:rPr>
          <w:rFonts w:asciiTheme="minorHAnsi" w:hAnsiTheme="minorHAnsi"/>
          <w:color w:val="000000"/>
          <w:sz w:val="22"/>
          <w:szCs w:val="22"/>
        </w:rPr>
        <w:t xml:space="preserve"> framework, which sets guidelines for expected standards, v</w:t>
      </w:r>
      <w:r w:rsidR="002A385B">
        <w:rPr>
          <w:rFonts w:asciiTheme="minorHAnsi" w:hAnsiTheme="minorHAnsi"/>
          <w:color w:val="000000"/>
          <w:sz w:val="22"/>
          <w:szCs w:val="22"/>
        </w:rPr>
        <w:t xml:space="preserve">alid across the university, and accompanied by </w:t>
      </w:r>
      <w:r w:rsidRPr="00C7588B">
        <w:rPr>
          <w:rFonts w:asciiTheme="minorHAnsi" w:hAnsiTheme="minorHAnsi"/>
          <w:iCs/>
          <w:color w:val="000000"/>
          <w:sz w:val="22"/>
          <w:szCs w:val="22"/>
        </w:rPr>
        <w:t xml:space="preserve">detailed </w:t>
      </w:r>
      <w:r w:rsidRPr="00A42ADA">
        <w:rPr>
          <w:rFonts w:asciiTheme="minorHAnsi" w:hAnsiTheme="minorHAnsi"/>
          <w:b/>
          <w:color w:val="000000"/>
          <w:sz w:val="22"/>
          <w:szCs w:val="22"/>
        </w:rPr>
        <w:t>faculty</w:t>
      </w:r>
      <w:r w:rsidR="00FA4E69" w:rsidRPr="00A42ADA">
        <w:rPr>
          <w:rFonts w:asciiTheme="minorHAnsi" w:hAnsiTheme="minorHAnsi"/>
          <w:b/>
          <w:color w:val="000000"/>
          <w:sz w:val="22"/>
          <w:szCs w:val="22"/>
        </w:rPr>
        <w:t>-</w:t>
      </w:r>
      <w:r w:rsidRPr="00A42ADA">
        <w:rPr>
          <w:rFonts w:asciiTheme="minorHAnsi" w:hAnsiTheme="minorHAnsi"/>
          <w:b/>
          <w:color w:val="000000"/>
          <w:sz w:val="22"/>
          <w:szCs w:val="22"/>
        </w:rPr>
        <w:t>specific</w:t>
      </w:r>
      <w:r w:rsidR="00A42ADA" w:rsidRPr="00A42ADA">
        <w:rPr>
          <w:rFonts w:asciiTheme="minorHAnsi" w:hAnsiTheme="minorHAnsi"/>
          <w:b/>
          <w:color w:val="000000"/>
          <w:sz w:val="22"/>
          <w:szCs w:val="22"/>
        </w:rPr>
        <w:t xml:space="preserve"> criteria</w:t>
      </w:r>
      <w:r w:rsidRPr="00A42ADA">
        <w:rPr>
          <w:rFonts w:asciiTheme="minorHAnsi" w:hAnsiTheme="minorHAnsi"/>
          <w:b/>
          <w:color w:val="000000"/>
          <w:sz w:val="22"/>
          <w:szCs w:val="22"/>
        </w:rPr>
        <w:t xml:space="preserve"> </w:t>
      </w:r>
      <w:r w:rsidR="00AD1541">
        <w:rPr>
          <w:rFonts w:asciiTheme="minorHAnsi" w:hAnsiTheme="minorHAnsi"/>
          <w:color w:val="000000"/>
          <w:sz w:val="22"/>
          <w:szCs w:val="22"/>
        </w:rPr>
        <w:t xml:space="preserve">which </w:t>
      </w:r>
      <w:r w:rsidR="002A385B">
        <w:rPr>
          <w:rFonts w:asciiTheme="minorHAnsi" w:hAnsiTheme="minorHAnsi"/>
          <w:color w:val="000000"/>
          <w:sz w:val="22"/>
          <w:szCs w:val="22"/>
        </w:rPr>
        <w:t xml:space="preserve">are aligned with the ad </w:t>
      </w:r>
      <w:proofErr w:type="spellStart"/>
      <w:r w:rsidR="002A385B">
        <w:rPr>
          <w:rFonts w:asciiTheme="minorHAnsi" w:hAnsiTheme="minorHAnsi"/>
          <w:color w:val="000000"/>
          <w:sz w:val="22"/>
          <w:szCs w:val="22"/>
        </w:rPr>
        <w:t>homimen</w:t>
      </w:r>
      <w:proofErr w:type="spellEnd"/>
      <w:r w:rsidR="002A385B">
        <w:rPr>
          <w:rFonts w:asciiTheme="minorHAnsi" w:hAnsiTheme="minorHAnsi"/>
          <w:color w:val="000000"/>
          <w:sz w:val="22"/>
          <w:szCs w:val="22"/>
        </w:rPr>
        <w:t xml:space="preserve"> promotion criteria. </w:t>
      </w:r>
      <w:r w:rsidR="002A385B" w:rsidRPr="00C7588B">
        <w:rPr>
          <w:rFonts w:asciiTheme="minorHAnsi" w:hAnsiTheme="minorHAnsi"/>
          <w:color w:val="000000"/>
          <w:sz w:val="22"/>
          <w:szCs w:val="22"/>
        </w:rPr>
        <w:t xml:space="preserve">The link to ad hominem </w:t>
      </w:r>
      <w:r w:rsidR="002A385B">
        <w:rPr>
          <w:rFonts w:asciiTheme="minorHAnsi" w:hAnsiTheme="minorHAnsi"/>
          <w:color w:val="000000"/>
          <w:sz w:val="22"/>
          <w:szCs w:val="22"/>
        </w:rPr>
        <w:t xml:space="preserve">promotion </w:t>
      </w:r>
      <w:r w:rsidR="002A385B" w:rsidRPr="00C7588B">
        <w:rPr>
          <w:rFonts w:asciiTheme="minorHAnsi" w:hAnsiTheme="minorHAnsi"/>
          <w:color w:val="000000"/>
          <w:sz w:val="22"/>
          <w:szCs w:val="22"/>
        </w:rPr>
        <w:t xml:space="preserve">criteria is </w:t>
      </w:r>
      <w:r w:rsidR="002A385B">
        <w:rPr>
          <w:rFonts w:asciiTheme="minorHAnsi" w:hAnsiTheme="minorHAnsi"/>
          <w:color w:val="000000"/>
          <w:sz w:val="22"/>
          <w:szCs w:val="22"/>
        </w:rPr>
        <w:t xml:space="preserve">important in </w:t>
      </w:r>
      <w:r w:rsidR="002A385B" w:rsidRPr="00C7588B">
        <w:rPr>
          <w:rFonts w:asciiTheme="minorHAnsi" w:hAnsiTheme="minorHAnsi"/>
          <w:color w:val="000000"/>
          <w:sz w:val="22"/>
          <w:szCs w:val="22"/>
        </w:rPr>
        <w:t>provid</w:t>
      </w:r>
      <w:r w:rsidR="002A385B">
        <w:rPr>
          <w:rFonts w:asciiTheme="minorHAnsi" w:hAnsiTheme="minorHAnsi"/>
          <w:color w:val="000000"/>
          <w:sz w:val="22"/>
          <w:szCs w:val="22"/>
        </w:rPr>
        <w:t>ing</w:t>
      </w:r>
      <w:r w:rsidR="002A385B" w:rsidRPr="00C7588B">
        <w:rPr>
          <w:rFonts w:asciiTheme="minorHAnsi" w:hAnsiTheme="minorHAnsi"/>
          <w:color w:val="000000"/>
          <w:sz w:val="22"/>
          <w:szCs w:val="22"/>
        </w:rPr>
        <w:t xml:space="preserve"> further guidance as to w</w:t>
      </w:r>
      <w:r w:rsidR="002A385B">
        <w:rPr>
          <w:rFonts w:asciiTheme="minorHAnsi" w:hAnsiTheme="minorHAnsi"/>
          <w:color w:val="000000"/>
          <w:sz w:val="22"/>
          <w:szCs w:val="22"/>
        </w:rPr>
        <w:t>hat would constitute the expected</w:t>
      </w:r>
      <w:r w:rsidR="002A385B" w:rsidRPr="00C7588B">
        <w:rPr>
          <w:rFonts w:asciiTheme="minorHAnsi" w:hAnsiTheme="minorHAnsi"/>
          <w:color w:val="000000"/>
          <w:sz w:val="22"/>
          <w:szCs w:val="22"/>
        </w:rPr>
        <w:t xml:space="preserve"> performance at ea</w:t>
      </w:r>
      <w:r w:rsidR="002A385B">
        <w:rPr>
          <w:rFonts w:asciiTheme="minorHAnsi" w:hAnsiTheme="minorHAnsi"/>
          <w:color w:val="000000"/>
          <w:sz w:val="22"/>
          <w:szCs w:val="22"/>
        </w:rPr>
        <w:t>ch rank in a particular faculty, in relation to the criteria for advancement by promotion.</w:t>
      </w:r>
      <w:r w:rsidR="002A385B" w:rsidRPr="00C7588B">
        <w:rPr>
          <w:rFonts w:asciiTheme="minorHAnsi" w:hAnsiTheme="minorHAnsi"/>
          <w:color w:val="000000"/>
          <w:sz w:val="22"/>
          <w:szCs w:val="22"/>
        </w:rPr>
        <w:t> </w:t>
      </w:r>
    </w:p>
    <w:p w:rsidR="00A42ADA" w:rsidRDefault="002A385B" w:rsidP="00C71EBF">
      <w:pPr>
        <w:autoSpaceDE w:val="0"/>
        <w:autoSpaceDN w:val="0"/>
        <w:adjustRightInd w:val="0"/>
        <w:spacing w:before="120" w:after="120" w:line="320" w:lineRule="atLeast"/>
        <w:jc w:val="both"/>
        <w:rPr>
          <w:rFonts w:asciiTheme="minorHAnsi" w:hAnsiTheme="minorHAnsi"/>
          <w:color w:val="000000"/>
          <w:sz w:val="22"/>
          <w:szCs w:val="22"/>
        </w:rPr>
      </w:pPr>
      <w:r>
        <w:rPr>
          <w:rFonts w:asciiTheme="minorHAnsi" w:hAnsiTheme="minorHAnsi"/>
          <w:color w:val="000000"/>
          <w:sz w:val="22"/>
          <w:szCs w:val="22"/>
        </w:rPr>
        <w:t>While the</w:t>
      </w:r>
      <w:r w:rsidR="000C7561">
        <w:rPr>
          <w:rFonts w:asciiTheme="minorHAnsi" w:hAnsiTheme="minorHAnsi"/>
          <w:color w:val="000000"/>
          <w:sz w:val="22"/>
          <w:szCs w:val="22"/>
        </w:rPr>
        <w:t xml:space="preserve"> criteria address some of the </w:t>
      </w:r>
      <w:r w:rsidR="000C7561" w:rsidRPr="000C7561">
        <w:rPr>
          <w:rFonts w:asciiTheme="minorHAnsi" w:hAnsiTheme="minorHAnsi"/>
          <w:b/>
          <w:color w:val="000000"/>
          <w:sz w:val="22"/>
          <w:szCs w:val="22"/>
        </w:rPr>
        <w:t xml:space="preserve">transformation goals </w:t>
      </w:r>
      <w:r w:rsidR="000C7561">
        <w:rPr>
          <w:rFonts w:asciiTheme="minorHAnsi" w:hAnsiTheme="minorHAnsi"/>
          <w:color w:val="000000"/>
          <w:sz w:val="22"/>
          <w:szCs w:val="22"/>
        </w:rPr>
        <w:t>of the university, f</w:t>
      </w:r>
      <w:r w:rsidR="00A42ADA">
        <w:rPr>
          <w:rFonts w:asciiTheme="minorHAnsi" w:hAnsiTheme="minorHAnsi"/>
          <w:color w:val="000000"/>
          <w:sz w:val="22"/>
          <w:szCs w:val="22"/>
        </w:rPr>
        <w:t xml:space="preserve">aculties should develop </w:t>
      </w:r>
      <w:r w:rsidR="000C7561">
        <w:rPr>
          <w:rFonts w:asciiTheme="minorHAnsi" w:hAnsiTheme="minorHAnsi"/>
          <w:color w:val="000000"/>
          <w:sz w:val="22"/>
          <w:szCs w:val="22"/>
        </w:rPr>
        <w:t xml:space="preserve">further </w:t>
      </w:r>
      <w:r w:rsidR="00A42ADA">
        <w:rPr>
          <w:rFonts w:asciiTheme="minorHAnsi" w:hAnsiTheme="minorHAnsi"/>
          <w:color w:val="000000"/>
          <w:sz w:val="22"/>
          <w:szCs w:val="22"/>
        </w:rPr>
        <w:t>criteria relevant to the</w:t>
      </w:r>
      <w:r w:rsidR="000C7561">
        <w:rPr>
          <w:rFonts w:asciiTheme="minorHAnsi" w:hAnsiTheme="minorHAnsi"/>
          <w:color w:val="000000"/>
          <w:sz w:val="22"/>
          <w:szCs w:val="22"/>
        </w:rPr>
        <w:t>se goals</w:t>
      </w:r>
      <w:r w:rsidR="00A42ADA">
        <w:rPr>
          <w:rFonts w:asciiTheme="minorHAnsi" w:hAnsiTheme="minorHAnsi"/>
          <w:color w:val="000000"/>
          <w:sz w:val="22"/>
          <w:szCs w:val="22"/>
        </w:rPr>
        <w:t xml:space="preserve"> across all of the categories, and ensure proper recognition for such activities. </w:t>
      </w:r>
      <w:r w:rsidR="00C7588B" w:rsidRPr="00C7588B">
        <w:rPr>
          <w:rFonts w:asciiTheme="minorHAnsi" w:hAnsiTheme="minorHAnsi"/>
          <w:color w:val="000000"/>
          <w:sz w:val="22"/>
          <w:szCs w:val="22"/>
        </w:rPr>
        <w:t xml:space="preserve">Examples </w:t>
      </w:r>
      <w:r w:rsidR="00A42ADA">
        <w:rPr>
          <w:rFonts w:asciiTheme="minorHAnsi" w:hAnsiTheme="minorHAnsi"/>
          <w:color w:val="000000"/>
          <w:sz w:val="22"/>
          <w:szCs w:val="22"/>
        </w:rPr>
        <w:t xml:space="preserve">would </w:t>
      </w:r>
      <w:r w:rsidR="00C7588B" w:rsidRPr="00C7588B">
        <w:rPr>
          <w:rFonts w:asciiTheme="minorHAnsi" w:hAnsiTheme="minorHAnsi"/>
          <w:color w:val="000000"/>
          <w:sz w:val="22"/>
          <w:szCs w:val="22"/>
        </w:rPr>
        <w:t xml:space="preserve">include </w:t>
      </w:r>
      <w:r w:rsidR="00A42ADA">
        <w:rPr>
          <w:rFonts w:asciiTheme="minorHAnsi" w:hAnsiTheme="minorHAnsi"/>
          <w:color w:val="000000"/>
          <w:sz w:val="22"/>
          <w:szCs w:val="22"/>
        </w:rPr>
        <w:t xml:space="preserve">the </w:t>
      </w:r>
      <w:r w:rsidR="0039532B">
        <w:rPr>
          <w:rFonts w:asciiTheme="minorHAnsi" w:hAnsiTheme="minorHAnsi"/>
          <w:color w:val="000000"/>
          <w:sz w:val="22"/>
          <w:szCs w:val="22"/>
        </w:rPr>
        <w:t xml:space="preserve">mentorship of young and new staff, </w:t>
      </w:r>
      <w:r w:rsidR="000C7561">
        <w:rPr>
          <w:rFonts w:asciiTheme="minorHAnsi" w:hAnsiTheme="minorHAnsi"/>
          <w:color w:val="000000"/>
          <w:sz w:val="22"/>
          <w:szCs w:val="22"/>
        </w:rPr>
        <w:t xml:space="preserve">and </w:t>
      </w:r>
      <w:r w:rsidR="00C7588B" w:rsidRPr="00C7588B">
        <w:rPr>
          <w:rFonts w:asciiTheme="minorHAnsi" w:hAnsiTheme="minorHAnsi"/>
          <w:color w:val="000000"/>
          <w:sz w:val="22"/>
          <w:szCs w:val="22"/>
        </w:rPr>
        <w:t>servi</w:t>
      </w:r>
      <w:r w:rsidR="00A42ADA">
        <w:rPr>
          <w:rFonts w:asciiTheme="minorHAnsi" w:hAnsiTheme="minorHAnsi"/>
          <w:color w:val="000000"/>
          <w:sz w:val="22"/>
          <w:szCs w:val="22"/>
        </w:rPr>
        <w:t>ce</w:t>
      </w:r>
      <w:r w:rsidR="00C7588B" w:rsidRPr="00C7588B">
        <w:rPr>
          <w:rFonts w:asciiTheme="minorHAnsi" w:hAnsiTheme="minorHAnsi"/>
          <w:color w:val="000000"/>
          <w:sz w:val="22"/>
          <w:szCs w:val="22"/>
        </w:rPr>
        <w:t xml:space="preserve"> as an </w:t>
      </w:r>
      <w:r w:rsidR="00E34C1E">
        <w:rPr>
          <w:rFonts w:asciiTheme="minorHAnsi" w:hAnsiTheme="minorHAnsi"/>
          <w:color w:val="000000"/>
          <w:sz w:val="22"/>
          <w:szCs w:val="22"/>
        </w:rPr>
        <w:t xml:space="preserve">employment equity </w:t>
      </w:r>
      <w:r w:rsidR="00C7588B" w:rsidRPr="00C7588B">
        <w:rPr>
          <w:rFonts w:asciiTheme="minorHAnsi" w:hAnsiTheme="minorHAnsi"/>
          <w:color w:val="000000"/>
          <w:sz w:val="22"/>
          <w:szCs w:val="22"/>
        </w:rPr>
        <w:t>representative on a selection committee</w:t>
      </w:r>
      <w:r w:rsidR="000C7561">
        <w:rPr>
          <w:rFonts w:asciiTheme="minorHAnsi" w:hAnsiTheme="minorHAnsi"/>
          <w:color w:val="000000"/>
          <w:sz w:val="22"/>
          <w:szCs w:val="22"/>
        </w:rPr>
        <w:t xml:space="preserve">. In </w:t>
      </w:r>
      <w:r w:rsidR="000A1899">
        <w:rPr>
          <w:rFonts w:asciiTheme="minorHAnsi" w:hAnsiTheme="minorHAnsi"/>
          <w:color w:val="000000"/>
          <w:sz w:val="22"/>
          <w:szCs w:val="22"/>
        </w:rPr>
        <w:t xml:space="preserve">the domain of teaching and learning, </w:t>
      </w:r>
      <w:r w:rsidR="00E34C1E">
        <w:rPr>
          <w:rFonts w:asciiTheme="minorHAnsi" w:hAnsiTheme="minorHAnsi"/>
          <w:color w:val="000000"/>
          <w:sz w:val="22"/>
          <w:szCs w:val="22"/>
        </w:rPr>
        <w:t>contributi</w:t>
      </w:r>
      <w:r w:rsidR="00A42ADA">
        <w:rPr>
          <w:rFonts w:asciiTheme="minorHAnsi" w:hAnsiTheme="minorHAnsi"/>
          <w:color w:val="000000"/>
          <w:sz w:val="22"/>
          <w:szCs w:val="22"/>
        </w:rPr>
        <w:t xml:space="preserve">ons </w:t>
      </w:r>
      <w:r w:rsidR="00E34C1E">
        <w:rPr>
          <w:rFonts w:asciiTheme="minorHAnsi" w:hAnsiTheme="minorHAnsi"/>
          <w:color w:val="000000"/>
          <w:sz w:val="22"/>
          <w:szCs w:val="22"/>
        </w:rPr>
        <w:t xml:space="preserve">to </w:t>
      </w:r>
      <w:r w:rsidR="00A42ADA">
        <w:rPr>
          <w:rFonts w:asciiTheme="minorHAnsi" w:hAnsiTheme="minorHAnsi"/>
          <w:color w:val="000000"/>
          <w:sz w:val="22"/>
          <w:szCs w:val="22"/>
        </w:rPr>
        <w:t xml:space="preserve">transformational aspects of </w:t>
      </w:r>
      <w:r w:rsidR="00A3772D">
        <w:rPr>
          <w:rFonts w:asciiTheme="minorHAnsi" w:hAnsiTheme="minorHAnsi"/>
          <w:color w:val="000000"/>
          <w:sz w:val="22"/>
          <w:szCs w:val="22"/>
        </w:rPr>
        <w:t>curriculum design</w:t>
      </w:r>
      <w:r w:rsidR="000C7561">
        <w:rPr>
          <w:rFonts w:asciiTheme="minorHAnsi" w:hAnsiTheme="minorHAnsi"/>
          <w:color w:val="000000"/>
          <w:sz w:val="22"/>
          <w:szCs w:val="22"/>
        </w:rPr>
        <w:t xml:space="preserve"> would be an important activity and criterion</w:t>
      </w:r>
      <w:r w:rsidR="00C71EBF">
        <w:rPr>
          <w:rFonts w:asciiTheme="minorHAnsi" w:hAnsiTheme="minorHAnsi"/>
          <w:color w:val="000000"/>
          <w:sz w:val="22"/>
          <w:szCs w:val="22"/>
        </w:rPr>
        <w:t xml:space="preserve">. A further example is an </w:t>
      </w:r>
      <w:r w:rsidR="000C7561">
        <w:rPr>
          <w:rFonts w:asciiTheme="minorHAnsi" w:hAnsiTheme="minorHAnsi"/>
          <w:color w:val="000000"/>
          <w:sz w:val="22"/>
          <w:szCs w:val="22"/>
        </w:rPr>
        <w:t>expectation that staff members who are course convenors will formulate strategies and targets for students from designated groups, and make a demonstrable effort aimed at meeting these targets.</w:t>
      </w:r>
    </w:p>
    <w:p w:rsidR="00AD1541" w:rsidRDefault="00AD1541" w:rsidP="00C71EBF">
      <w:pPr>
        <w:spacing w:before="120" w:after="120" w:line="320" w:lineRule="atLeast"/>
        <w:jc w:val="both"/>
        <w:rPr>
          <w:rFonts w:asciiTheme="minorHAnsi" w:hAnsiTheme="minorHAnsi"/>
          <w:sz w:val="22"/>
          <w:szCs w:val="22"/>
        </w:rPr>
      </w:pPr>
      <w:r w:rsidRPr="00DE3538">
        <w:rPr>
          <w:rFonts w:ascii="Calibri" w:hAnsi="Calibri"/>
          <w:sz w:val="22"/>
          <w:szCs w:val="22"/>
        </w:rPr>
        <w:t>The revised criteria address two further concerns about the current set: in the case of criteria for re</w:t>
      </w:r>
      <w:r w:rsidRPr="00C7588B">
        <w:rPr>
          <w:rFonts w:asciiTheme="minorHAnsi" w:hAnsiTheme="minorHAnsi"/>
          <w:sz w:val="22"/>
          <w:szCs w:val="22"/>
        </w:rPr>
        <w:t>search, there is a greater emphasis on impact and quality, as opposed to the generally quantitative nature of the current criteria; and second, with regard to teaching and learning, there is an emphasis on the importance of evidence</w:t>
      </w:r>
      <w:r w:rsidR="008B0644">
        <w:rPr>
          <w:rFonts w:asciiTheme="minorHAnsi" w:hAnsiTheme="minorHAnsi"/>
          <w:sz w:val="22"/>
          <w:szCs w:val="22"/>
        </w:rPr>
        <w:t xml:space="preserve"> of good practice</w:t>
      </w:r>
      <w:r w:rsidRPr="00C7588B">
        <w:rPr>
          <w:rFonts w:asciiTheme="minorHAnsi" w:hAnsiTheme="minorHAnsi"/>
          <w:sz w:val="22"/>
          <w:szCs w:val="22"/>
        </w:rPr>
        <w:t xml:space="preserve">, </w:t>
      </w:r>
      <w:r w:rsidR="00A3772D">
        <w:rPr>
          <w:rFonts w:asciiTheme="minorHAnsi" w:hAnsiTheme="minorHAnsi"/>
          <w:sz w:val="22"/>
          <w:szCs w:val="22"/>
        </w:rPr>
        <w:t xml:space="preserve">and explicit reference to the determination of appropriate </w:t>
      </w:r>
      <w:r w:rsidRPr="00C7588B">
        <w:rPr>
          <w:rFonts w:asciiTheme="minorHAnsi" w:hAnsiTheme="minorHAnsi"/>
          <w:sz w:val="22"/>
          <w:szCs w:val="22"/>
        </w:rPr>
        <w:t>teaching load</w:t>
      </w:r>
      <w:r w:rsidR="00A3772D">
        <w:rPr>
          <w:rFonts w:asciiTheme="minorHAnsi" w:hAnsiTheme="minorHAnsi"/>
          <w:sz w:val="22"/>
          <w:szCs w:val="22"/>
        </w:rPr>
        <w:t>s</w:t>
      </w:r>
      <w:proofErr w:type="gramStart"/>
      <w:r w:rsidR="00A3772D">
        <w:rPr>
          <w:rFonts w:asciiTheme="minorHAnsi" w:hAnsiTheme="minorHAnsi"/>
          <w:sz w:val="22"/>
          <w:szCs w:val="22"/>
        </w:rPr>
        <w:t>;  these</w:t>
      </w:r>
      <w:proofErr w:type="gramEnd"/>
      <w:r w:rsidR="00A3772D">
        <w:rPr>
          <w:rFonts w:asciiTheme="minorHAnsi" w:hAnsiTheme="minorHAnsi"/>
          <w:sz w:val="22"/>
          <w:szCs w:val="22"/>
        </w:rPr>
        <w:t xml:space="preserve"> considerations were absent from the </w:t>
      </w:r>
      <w:r w:rsidRPr="00C7588B">
        <w:rPr>
          <w:rFonts w:asciiTheme="minorHAnsi" w:hAnsiTheme="minorHAnsi"/>
          <w:sz w:val="22"/>
          <w:szCs w:val="22"/>
        </w:rPr>
        <w:t>earlier set of criteria.</w:t>
      </w:r>
    </w:p>
    <w:p w:rsidR="00E117F3" w:rsidRPr="008A6EB5" w:rsidRDefault="006E545D" w:rsidP="008A6EB5">
      <w:pPr>
        <w:spacing w:before="120" w:after="120" w:line="320" w:lineRule="atLeast"/>
        <w:jc w:val="both"/>
        <w:rPr>
          <w:rFonts w:ascii="Calibri" w:hAnsi="Calibri"/>
          <w:sz w:val="22"/>
          <w:szCs w:val="22"/>
        </w:rPr>
      </w:pPr>
      <w:r>
        <w:rPr>
          <w:rFonts w:ascii="Calibri" w:hAnsi="Calibri"/>
          <w:sz w:val="22"/>
          <w:szCs w:val="22"/>
        </w:rPr>
        <w:t xml:space="preserve">A summary of the faculty specific </w:t>
      </w:r>
      <w:r w:rsidR="00962EA5">
        <w:rPr>
          <w:rFonts w:ascii="Calibri" w:hAnsi="Calibri"/>
          <w:sz w:val="22"/>
          <w:szCs w:val="22"/>
        </w:rPr>
        <w:t xml:space="preserve">criteria </w:t>
      </w:r>
      <w:r w:rsidR="00AE6571">
        <w:rPr>
          <w:rFonts w:ascii="Calibri" w:hAnsi="Calibri"/>
          <w:sz w:val="22"/>
          <w:szCs w:val="22"/>
        </w:rPr>
        <w:t xml:space="preserve">are </w:t>
      </w:r>
      <w:r w:rsidR="008A6EB5">
        <w:rPr>
          <w:rFonts w:ascii="Calibri" w:hAnsi="Calibri"/>
          <w:sz w:val="22"/>
          <w:szCs w:val="22"/>
        </w:rPr>
        <w:t xml:space="preserve">presented in </w:t>
      </w:r>
      <w:r w:rsidR="008A6EB5" w:rsidRPr="005E17D2">
        <w:rPr>
          <w:rFonts w:ascii="Calibri" w:hAnsi="Calibri"/>
          <w:b/>
          <w:sz w:val="22"/>
          <w:szCs w:val="22"/>
        </w:rPr>
        <w:t>Annexure 1</w:t>
      </w:r>
      <w:r w:rsidR="000D2A4D">
        <w:rPr>
          <w:rFonts w:ascii="Calibri" w:hAnsi="Calibri"/>
          <w:sz w:val="22"/>
          <w:szCs w:val="22"/>
        </w:rPr>
        <w:t xml:space="preserve">, </w:t>
      </w:r>
      <w:r>
        <w:rPr>
          <w:rFonts w:ascii="Calibri" w:hAnsi="Calibri"/>
          <w:sz w:val="22"/>
          <w:szCs w:val="22"/>
        </w:rPr>
        <w:t xml:space="preserve">and the detail for each faculty </w:t>
      </w:r>
      <w:r w:rsidR="00962EA5">
        <w:rPr>
          <w:rFonts w:ascii="Calibri" w:hAnsi="Calibri"/>
          <w:sz w:val="22"/>
          <w:szCs w:val="22"/>
        </w:rPr>
        <w:t xml:space="preserve">as approved by the </w:t>
      </w:r>
      <w:r w:rsidR="000D2A4D">
        <w:rPr>
          <w:rFonts w:ascii="Calibri" w:hAnsi="Calibri"/>
          <w:sz w:val="22"/>
          <w:szCs w:val="22"/>
        </w:rPr>
        <w:t xml:space="preserve">relevant </w:t>
      </w:r>
      <w:r w:rsidR="00962EA5">
        <w:rPr>
          <w:rFonts w:ascii="Calibri" w:hAnsi="Calibri"/>
          <w:sz w:val="22"/>
          <w:szCs w:val="22"/>
        </w:rPr>
        <w:t xml:space="preserve">faculty board </w:t>
      </w:r>
      <w:r>
        <w:rPr>
          <w:rFonts w:ascii="Calibri" w:hAnsi="Calibri"/>
          <w:sz w:val="22"/>
          <w:szCs w:val="22"/>
        </w:rPr>
        <w:t>is</w:t>
      </w:r>
      <w:r w:rsidR="00962EA5">
        <w:rPr>
          <w:rFonts w:ascii="Calibri" w:hAnsi="Calibri"/>
          <w:sz w:val="22"/>
          <w:szCs w:val="22"/>
        </w:rPr>
        <w:t xml:space="preserve"> contained</w:t>
      </w:r>
      <w:r>
        <w:rPr>
          <w:rFonts w:ascii="Calibri" w:hAnsi="Calibri"/>
          <w:sz w:val="22"/>
          <w:szCs w:val="22"/>
        </w:rPr>
        <w:t xml:space="preserve"> in the attached document</w:t>
      </w:r>
      <w:r w:rsidR="008A6EB5">
        <w:rPr>
          <w:rFonts w:ascii="Calibri" w:hAnsi="Calibri"/>
          <w:sz w:val="22"/>
          <w:szCs w:val="22"/>
        </w:rPr>
        <w:t>. The background to these criteria follows.</w:t>
      </w:r>
      <w:r w:rsidR="008A6EB5" w:rsidRPr="008A6EB5">
        <w:rPr>
          <w:rFonts w:ascii="Calibri" w:hAnsi="Calibri"/>
          <w:sz w:val="22"/>
          <w:szCs w:val="22"/>
        </w:rPr>
        <w:t xml:space="preserve"> </w:t>
      </w:r>
    </w:p>
    <w:p w:rsidR="00E117F3" w:rsidRPr="00C7588B" w:rsidRDefault="00E117F3" w:rsidP="00C71EBF">
      <w:pPr>
        <w:autoSpaceDE w:val="0"/>
        <w:autoSpaceDN w:val="0"/>
        <w:adjustRightInd w:val="0"/>
        <w:spacing w:before="120" w:after="120" w:line="320" w:lineRule="atLeast"/>
        <w:jc w:val="both"/>
        <w:rPr>
          <w:rFonts w:asciiTheme="minorHAnsi" w:hAnsiTheme="minorHAnsi"/>
          <w:b/>
          <w:color w:val="000000"/>
          <w:sz w:val="22"/>
          <w:szCs w:val="22"/>
        </w:rPr>
      </w:pPr>
      <w:r w:rsidRPr="00C7588B">
        <w:rPr>
          <w:rFonts w:asciiTheme="minorHAnsi" w:hAnsiTheme="minorHAnsi"/>
          <w:b/>
          <w:color w:val="000000"/>
          <w:sz w:val="22"/>
          <w:szCs w:val="22"/>
        </w:rPr>
        <w:t>TEACHING AND LEARNING</w:t>
      </w:r>
    </w:p>
    <w:p w:rsidR="00E117F3" w:rsidRPr="00C7588B"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 xml:space="preserve">A range of forms of education-related responsibilities are recognised as being valid contributions and can thus form part of the teaching workload. Decisions on variation from standard teaching are made by the Head of Department in accordance with departmental (or faculty) needs and the expertise of the staff member. Recognised variants to standard </w:t>
      </w:r>
      <w:r w:rsidRPr="00C7588B">
        <w:rPr>
          <w:rFonts w:asciiTheme="minorHAnsi" w:hAnsiTheme="minorHAnsi"/>
          <w:vanish/>
          <w:color w:val="000000"/>
          <w:sz w:val="22"/>
          <w:szCs w:val="22"/>
        </w:rPr>
        <w:t xml:space="preserve">lecturing </w:t>
      </w:r>
      <w:r w:rsidRPr="00C7588B">
        <w:rPr>
          <w:rFonts w:asciiTheme="minorHAnsi" w:hAnsiTheme="minorHAnsi"/>
          <w:color w:val="000000"/>
          <w:sz w:val="22"/>
          <w:szCs w:val="22"/>
        </w:rPr>
        <w:t>teaching include significant one-off or ongoing contributions that (a) improve the educational effectiveness of a department or programme or help to meet strategic goals, and (b) go beyond the regular leadership, management and administration responsibilities of the rank.</w:t>
      </w:r>
    </w:p>
    <w:p w:rsidR="00E117F3" w:rsidRPr="00C7588B"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lastRenderedPageBreak/>
        <w:t>Faculties may periodically consider how various teaching contributions are measured to ensure fairness in distribution of work. Agreement on the weighting of different types of contribution enables workloads to be determined objectively. Alternatively, the weighting of special contributions can be done on a case-by-case basis.</w:t>
      </w:r>
    </w:p>
    <w:p w:rsidR="0056365A"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Quality and effectiveness can be routinely assessed by means of external examiners’ reports and course evaluations but a wider range of evidence should be available for consideration at the end of each assessment cycle.</w:t>
      </w:r>
      <w:r w:rsidR="00AD24EF">
        <w:rPr>
          <w:rFonts w:asciiTheme="minorHAnsi" w:hAnsiTheme="minorHAnsi"/>
          <w:color w:val="000000"/>
          <w:sz w:val="22"/>
          <w:szCs w:val="22"/>
        </w:rPr>
        <w:t xml:space="preserve"> [Further to the SEC discussion</w:t>
      </w:r>
      <w:r w:rsidR="00B22791">
        <w:rPr>
          <w:rFonts w:asciiTheme="minorHAnsi" w:hAnsiTheme="minorHAnsi"/>
          <w:color w:val="000000"/>
          <w:sz w:val="22"/>
          <w:szCs w:val="22"/>
        </w:rPr>
        <w:t xml:space="preserve"> in September 2010,</w:t>
      </w:r>
      <w:r w:rsidR="00AD24EF">
        <w:rPr>
          <w:rFonts w:asciiTheme="minorHAnsi" w:hAnsiTheme="minorHAnsi"/>
          <w:color w:val="000000"/>
          <w:sz w:val="22"/>
          <w:szCs w:val="22"/>
        </w:rPr>
        <w:t xml:space="preserve"> all faculty criteria must include explicit reference to course evaluations as a measure of students experience of an academic staff member’s teaching].</w:t>
      </w:r>
    </w:p>
    <w:p w:rsidR="00E117F3" w:rsidRDefault="00E117F3" w:rsidP="00C71EBF">
      <w:pPr>
        <w:autoSpaceDE w:val="0"/>
        <w:autoSpaceDN w:val="0"/>
        <w:adjustRightInd w:val="0"/>
        <w:spacing w:before="120" w:after="120" w:line="320" w:lineRule="atLeast"/>
        <w:jc w:val="both"/>
        <w:rPr>
          <w:rFonts w:asciiTheme="minorHAnsi" w:hAnsiTheme="minorHAnsi"/>
          <w:b/>
          <w:color w:val="000000"/>
          <w:sz w:val="22"/>
          <w:szCs w:val="22"/>
        </w:rPr>
      </w:pPr>
      <w:r w:rsidRPr="00C7588B">
        <w:rPr>
          <w:rFonts w:asciiTheme="minorHAnsi" w:hAnsiTheme="minorHAnsi"/>
          <w:b/>
          <w:color w:val="000000"/>
          <w:sz w:val="22"/>
          <w:szCs w:val="22"/>
        </w:rPr>
        <w:t>RESEARCH</w:t>
      </w:r>
    </w:p>
    <w:p w:rsidR="003C05F3"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 xml:space="preserve">Research criteria are </w:t>
      </w:r>
      <w:r>
        <w:rPr>
          <w:rFonts w:asciiTheme="minorHAnsi" w:hAnsiTheme="minorHAnsi"/>
          <w:color w:val="000000"/>
          <w:sz w:val="22"/>
          <w:szCs w:val="22"/>
        </w:rPr>
        <w:t>based on the p</w:t>
      </w:r>
      <w:r w:rsidRPr="00C7588B">
        <w:rPr>
          <w:rFonts w:asciiTheme="minorHAnsi" w:hAnsiTheme="minorHAnsi"/>
          <w:color w:val="000000"/>
          <w:sz w:val="22"/>
          <w:szCs w:val="22"/>
        </w:rPr>
        <w:t xml:space="preserve">hilosophy that, as a leading research institution whose academic </w:t>
      </w:r>
      <w:proofErr w:type="gramStart"/>
      <w:r w:rsidRPr="00C7588B">
        <w:rPr>
          <w:rFonts w:asciiTheme="minorHAnsi" w:hAnsiTheme="minorHAnsi"/>
          <w:color w:val="000000"/>
          <w:sz w:val="22"/>
          <w:szCs w:val="22"/>
        </w:rPr>
        <w:t>staff are</w:t>
      </w:r>
      <w:proofErr w:type="gramEnd"/>
      <w:r w:rsidRPr="00C7588B">
        <w:rPr>
          <w:rFonts w:asciiTheme="minorHAnsi" w:hAnsiTheme="minorHAnsi"/>
          <w:color w:val="000000"/>
          <w:sz w:val="22"/>
          <w:szCs w:val="22"/>
        </w:rPr>
        <w:t xml:space="preserve"> expected to undertake research at a high level, </w:t>
      </w:r>
      <w:r w:rsidR="003C05F3">
        <w:rPr>
          <w:rFonts w:asciiTheme="minorHAnsi" w:hAnsiTheme="minorHAnsi"/>
          <w:color w:val="000000"/>
          <w:sz w:val="22"/>
          <w:szCs w:val="22"/>
        </w:rPr>
        <w:t>the criteria for assessing research performance should be heavily weighted in favour of quality and impact, as opposed to quantitative measures.</w:t>
      </w:r>
      <w:r w:rsidRPr="00C7588B">
        <w:rPr>
          <w:rFonts w:asciiTheme="minorHAnsi" w:hAnsiTheme="minorHAnsi"/>
          <w:color w:val="000000"/>
          <w:sz w:val="22"/>
          <w:szCs w:val="22"/>
        </w:rPr>
        <w:t xml:space="preserve"> </w:t>
      </w:r>
    </w:p>
    <w:p w:rsidR="004B616A" w:rsidRDefault="003C05F3" w:rsidP="00C71EBF">
      <w:pPr>
        <w:autoSpaceDE w:val="0"/>
        <w:autoSpaceDN w:val="0"/>
        <w:adjustRightInd w:val="0"/>
        <w:spacing w:before="120" w:after="120" w:line="320" w:lineRule="atLeast"/>
        <w:jc w:val="both"/>
        <w:rPr>
          <w:rFonts w:asciiTheme="minorHAnsi" w:hAnsiTheme="minorHAnsi"/>
          <w:color w:val="000000"/>
          <w:sz w:val="22"/>
          <w:szCs w:val="22"/>
        </w:rPr>
      </w:pPr>
      <w:r>
        <w:rPr>
          <w:rFonts w:asciiTheme="minorHAnsi" w:hAnsiTheme="minorHAnsi"/>
          <w:color w:val="000000"/>
          <w:sz w:val="22"/>
          <w:szCs w:val="22"/>
        </w:rPr>
        <w:t xml:space="preserve">Quantities in output vary </w:t>
      </w:r>
      <w:r w:rsidR="00E117F3" w:rsidRPr="00C7588B">
        <w:rPr>
          <w:rFonts w:asciiTheme="minorHAnsi" w:hAnsiTheme="minorHAnsi"/>
          <w:color w:val="000000"/>
          <w:sz w:val="22"/>
          <w:szCs w:val="22"/>
        </w:rPr>
        <w:t>vastly between disciplines, even within a single faculty</w:t>
      </w:r>
      <w:r>
        <w:rPr>
          <w:rFonts w:asciiTheme="minorHAnsi" w:hAnsiTheme="minorHAnsi"/>
          <w:color w:val="000000"/>
          <w:sz w:val="22"/>
          <w:szCs w:val="22"/>
        </w:rPr>
        <w:t>. While these</w:t>
      </w:r>
      <w:r w:rsidR="00CD1842">
        <w:rPr>
          <w:rFonts w:asciiTheme="minorHAnsi" w:hAnsiTheme="minorHAnsi"/>
          <w:color w:val="000000"/>
          <w:sz w:val="22"/>
          <w:szCs w:val="22"/>
        </w:rPr>
        <w:t xml:space="preserve"> quantitative</w:t>
      </w:r>
      <w:r>
        <w:rPr>
          <w:rFonts w:asciiTheme="minorHAnsi" w:hAnsiTheme="minorHAnsi"/>
          <w:color w:val="000000"/>
          <w:sz w:val="22"/>
          <w:szCs w:val="22"/>
        </w:rPr>
        <w:t xml:space="preserve"> </w:t>
      </w:r>
      <w:r w:rsidR="00CD1842">
        <w:rPr>
          <w:rFonts w:asciiTheme="minorHAnsi" w:hAnsiTheme="minorHAnsi"/>
          <w:color w:val="000000"/>
          <w:sz w:val="22"/>
          <w:szCs w:val="22"/>
        </w:rPr>
        <w:t xml:space="preserve">measures </w:t>
      </w:r>
      <w:r>
        <w:rPr>
          <w:rFonts w:asciiTheme="minorHAnsi" w:hAnsiTheme="minorHAnsi"/>
          <w:color w:val="000000"/>
          <w:sz w:val="22"/>
          <w:szCs w:val="22"/>
        </w:rPr>
        <w:t xml:space="preserve">do serve some purpose, any process of a largely quantitative nature aimed at assessing </w:t>
      </w:r>
      <w:r w:rsidR="004B616A">
        <w:rPr>
          <w:rFonts w:asciiTheme="minorHAnsi" w:hAnsiTheme="minorHAnsi"/>
          <w:color w:val="000000"/>
          <w:sz w:val="22"/>
          <w:szCs w:val="22"/>
        </w:rPr>
        <w:t xml:space="preserve">research performance will fail to distinguish between works having a major impact and those of a more pedestrian nature. Furthermore, the impact of works appearing as journal articles, say, and monographs, some of which may have required many years of investigation and writing, cannot be meaningfully compared by reduction to simplistic weightings based on </w:t>
      </w:r>
      <w:r w:rsidR="00124921">
        <w:rPr>
          <w:rFonts w:asciiTheme="minorHAnsi" w:hAnsiTheme="minorHAnsi"/>
          <w:color w:val="000000"/>
          <w:sz w:val="22"/>
          <w:szCs w:val="22"/>
        </w:rPr>
        <w:t>the</w:t>
      </w:r>
      <w:r w:rsidR="00A42ADA">
        <w:rPr>
          <w:rFonts w:asciiTheme="minorHAnsi" w:hAnsiTheme="minorHAnsi"/>
          <w:color w:val="000000"/>
          <w:sz w:val="22"/>
          <w:szCs w:val="22"/>
        </w:rPr>
        <w:t xml:space="preserve"> </w:t>
      </w:r>
      <w:r w:rsidR="004B616A">
        <w:rPr>
          <w:rFonts w:asciiTheme="minorHAnsi" w:hAnsiTheme="minorHAnsi"/>
          <w:color w:val="000000"/>
          <w:sz w:val="22"/>
          <w:szCs w:val="22"/>
        </w:rPr>
        <w:t>notion of a unit output.</w:t>
      </w:r>
    </w:p>
    <w:p w:rsidR="00E117F3" w:rsidRDefault="004B616A" w:rsidP="00C71EBF">
      <w:pPr>
        <w:autoSpaceDE w:val="0"/>
        <w:autoSpaceDN w:val="0"/>
        <w:adjustRightInd w:val="0"/>
        <w:spacing w:before="120" w:after="120" w:line="320" w:lineRule="atLeast"/>
        <w:jc w:val="both"/>
        <w:rPr>
          <w:rFonts w:asciiTheme="minorHAnsi" w:hAnsiTheme="minorHAnsi"/>
          <w:color w:val="000000"/>
          <w:sz w:val="22"/>
          <w:szCs w:val="22"/>
        </w:rPr>
      </w:pPr>
      <w:r>
        <w:rPr>
          <w:rFonts w:asciiTheme="minorHAnsi" w:hAnsiTheme="minorHAnsi"/>
          <w:color w:val="000000"/>
          <w:sz w:val="22"/>
          <w:szCs w:val="22"/>
        </w:rPr>
        <w:t xml:space="preserve">The research criteria have therefore been revised </w:t>
      </w:r>
      <w:r w:rsidR="00C77E3B">
        <w:rPr>
          <w:rFonts w:asciiTheme="minorHAnsi" w:hAnsiTheme="minorHAnsi"/>
          <w:color w:val="000000"/>
          <w:sz w:val="22"/>
          <w:szCs w:val="22"/>
        </w:rPr>
        <w:t xml:space="preserve">within the set of ad hominem promotion criteria </w:t>
      </w:r>
      <w:r>
        <w:rPr>
          <w:rFonts w:asciiTheme="minorHAnsi" w:hAnsiTheme="minorHAnsi"/>
          <w:color w:val="000000"/>
          <w:sz w:val="22"/>
          <w:szCs w:val="22"/>
        </w:rPr>
        <w:t xml:space="preserve">to reflect a greater reliance on impact and quality of research outputs in the form of journal articles, books, chapters in books, and works in conference proceedings. Provision continues to be made for the assessment of research in the </w:t>
      </w:r>
      <w:r w:rsidR="00E117F3" w:rsidRPr="00C7588B">
        <w:rPr>
          <w:rFonts w:asciiTheme="minorHAnsi" w:hAnsiTheme="minorHAnsi"/>
          <w:color w:val="000000"/>
          <w:sz w:val="22"/>
          <w:szCs w:val="22"/>
        </w:rPr>
        <w:t xml:space="preserve">creative and </w:t>
      </w:r>
      <w:r>
        <w:rPr>
          <w:rFonts w:asciiTheme="minorHAnsi" w:hAnsiTheme="minorHAnsi"/>
          <w:color w:val="000000"/>
          <w:sz w:val="22"/>
          <w:szCs w:val="22"/>
        </w:rPr>
        <w:t xml:space="preserve">performing arts, and in various professional disciplines, in which conventional </w:t>
      </w:r>
      <w:r w:rsidR="00E117F3" w:rsidRPr="00C7588B">
        <w:rPr>
          <w:rFonts w:asciiTheme="minorHAnsi" w:hAnsiTheme="minorHAnsi"/>
          <w:color w:val="000000"/>
          <w:sz w:val="22"/>
          <w:szCs w:val="22"/>
        </w:rPr>
        <w:t>peer</w:t>
      </w:r>
      <w:r>
        <w:rPr>
          <w:rFonts w:asciiTheme="minorHAnsi" w:hAnsiTheme="minorHAnsi"/>
          <w:color w:val="000000"/>
          <w:sz w:val="22"/>
          <w:szCs w:val="22"/>
        </w:rPr>
        <w:t>-</w:t>
      </w:r>
      <w:r w:rsidR="00E117F3" w:rsidRPr="00C7588B">
        <w:rPr>
          <w:rFonts w:asciiTheme="minorHAnsi" w:hAnsiTheme="minorHAnsi"/>
          <w:color w:val="000000"/>
          <w:sz w:val="22"/>
          <w:szCs w:val="22"/>
        </w:rPr>
        <w:t>reviewed written work is not the generally accepted avenue for disseminating research</w:t>
      </w:r>
      <w:r w:rsidR="00CD1842">
        <w:rPr>
          <w:rFonts w:asciiTheme="minorHAnsi" w:hAnsiTheme="minorHAnsi"/>
          <w:color w:val="000000"/>
          <w:sz w:val="22"/>
          <w:szCs w:val="22"/>
        </w:rPr>
        <w:t xml:space="preserve"> and scholarship</w:t>
      </w:r>
      <w:r w:rsidR="00E117F3" w:rsidRPr="00C7588B">
        <w:rPr>
          <w:rFonts w:asciiTheme="minorHAnsi" w:hAnsiTheme="minorHAnsi"/>
          <w:color w:val="000000"/>
          <w:sz w:val="22"/>
          <w:szCs w:val="22"/>
        </w:rPr>
        <w:t xml:space="preserve">. </w:t>
      </w:r>
    </w:p>
    <w:p w:rsidR="00E117F3" w:rsidRPr="00C7588B" w:rsidRDefault="00E117F3" w:rsidP="00C71EBF">
      <w:pPr>
        <w:autoSpaceDE w:val="0"/>
        <w:autoSpaceDN w:val="0"/>
        <w:adjustRightInd w:val="0"/>
        <w:spacing w:before="120" w:after="120" w:line="320" w:lineRule="atLeast"/>
        <w:jc w:val="both"/>
        <w:rPr>
          <w:rFonts w:asciiTheme="minorHAnsi" w:hAnsiTheme="minorHAnsi"/>
          <w:b/>
          <w:color w:val="000000"/>
          <w:sz w:val="22"/>
          <w:szCs w:val="22"/>
        </w:rPr>
      </w:pPr>
      <w:r w:rsidRPr="00C7588B">
        <w:rPr>
          <w:rFonts w:asciiTheme="minorHAnsi" w:hAnsiTheme="minorHAnsi"/>
          <w:b/>
          <w:color w:val="000000"/>
          <w:sz w:val="22"/>
          <w:szCs w:val="22"/>
        </w:rPr>
        <w:t>LEADERSHIP</w:t>
      </w:r>
      <w:r>
        <w:rPr>
          <w:rFonts w:asciiTheme="minorHAnsi" w:hAnsiTheme="minorHAnsi"/>
          <w:b/>
          <w:color w:val="000000"/>
          <w:sz w:val="22"/>
          <w:szCs w:val="22"/>
        </w:rPr>
        <w:t>,</w:t>
      </w:r>
      <w:r w:rsidRPr="00C7588B">
        <w:rPr>
          <w:rFonts w:asciiTheme="minorHAnsi" w:hAnsiTheme="minorHAnsi"/>
          <w:b/>
          <w:color w:val="000000"/>
          <w:sz w:val="22"/>
          <w:szCs w:val="22"/>
        </w:rPr>
        <w:t xml:space="preserve"> MANAGEMENT AND ADMINISTRATION</w:t>
      </w:r>
    </w:p>
    <w:p w:rsidR="00C71EBF" w:rsidRDefault="00E117F3" w:rsidP="00C71EBF">
      <w:pPr>
        <w:autoSpaceDE w:val="0"/>
        <w:autoSpaceDN w:val="0"/>
        <w:adjustRightInd w:val="0"/>
        <w:spacing w:before="120" w:after="120" w:line="320" w:lineRule="atLeast"/>
        <w:jc w:val="both"/>
        <w:rPr>
          <w:rFonts w:asciiTheme="minorHAnsi" w:hAnsiTheme="minorHAnsi"/>
          <w:b/>
          <w:color w:val="000000"/>
          <w:sz w:val="22"/>
          <w:szCs w:val="22"/>
        </w:rPr>
      </w:pPr>
      <w:r w:rsidRPr="00C7588B">
        <w:rPr>
          <w:rFonts w:asciiTheme="minorHAnsi" w:hAnsiTheme="minorHAnsi"/>
          <w:color w:val="000000"/>
          <w:sz w:val="22"/>
          <w:szCs w:val="22"/>
        </w:rPr>
        <w:t xml:space="preserve">The leadership, management and administration criteria were not viewed as particularly problematic and consequently there have been no fundamental changes made to the 2006 criteria. </w:t>
      </w:r>
    </w:p>
    <w:p w:rsidR="00E117F3" w:rsidRPr="00C7588B" w:rsidRDefault="00E117F3" w:rsidP="00C71EBF">
      <w:pPr>
        <w:autoSpaceDE w:val="0"/>
        <w:autoSpaceDN w:val="0"/>
        <w:adjustRightInd w:val="0"/>
        <w:spacing w:before="120" w:after="120" w:line="320" w:lineRule="atLeast"/>
        <w:jc w:val="both"/>
        <w:rPr>
          <w:rFonts w:asciiTheme="minorHAnsi" w:hAnsiTheme="minorHAnsi"/>
          <w:b/>
          <w:color w:val="000000"/>
          <w:sz w:val="22"/>
          <w:szCs w:val="22"/>
        </w:rPr>
      </w:pPr>
      <w:r w:rsidRPr="00C7588B">
        <w:rPr>
          <w:rFonts w:asciiTheme="minorHAnsi" w:hAnsiTheme="minorHAnsi"/>
          <w:b/>
          <w:color w:val="000000"/>
          <w:sz w:val="22"/>
          <w:szCs w:val="22"/>
        </w:rPr>
        <w:t>SOCIAL RESPONSIVENESS</w:t>
      </w:r>
    </w:p>
    <w:p w:rsidR="00E117F3" w:rsidRPr="00C7588B"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 xml:space="preserve">Social responsiveness </w:t>
      </w:r>
      <w:r w:rsidR="00CD1842">
        <w:rPr>
          <w:rFonts w:asciiTheme="minorHAnsi" w:hAnsiTheme="minorHAnsi"/>
          <w:color w:val="000000"/>
          <w:sz w:val="22"/>
          <w:szCs w:val="22"/>
        </w:rPr>
        <w:t xml:space="preserve">performance </w:t>
      </w:r>
      <w:r w:rsidRPr="00C7588B">
        <w:rPr>
          <w:rFonts w:asciiTheme="minorHAnsi" w:hAnsiTheme="minorHAnsi"/>
          <w:color w:val="000000"/>
          <w:sz w:val="22"/>
          <w:szCs w:val="22"/>
        </w:rPr>
        <w:t xml:space="preserve">criteria recognise the Senate-approved stipulation that social responsiveness must have an intentional public purpose or benefit with external, non-academic constituencies and should be linked to the core processes of the university, namely research, teaching and learning. This is in line with leading universities internationally, which are embracing public service as a core element of their activities, and links to the goal of increased impact in research and quality of teaching. </w:t>
      </w:r>
      <w:r w:rsidRPr="00C7588B">
        <w:rPr>
          <w:rFonts w:asciiTheme="minorHAnsi" w:hAnsiTheme="minorHAnsi"/>
          <w:iCs/>
          <w:color w:val="000000"/>
          <w:sz w:val="22"/>
          <w:szCs w:val="22"/>
        </w:rPr>
        <w:t>Social responsiveness is defined as the production and dissemination of knowledge for public benefit.</w:t>
      </w:r>
      <w:r w:rsidRPr="00C7588B">
        <w:rPr>
          <w:rFonts w:asciiTheme="minorHAnsi" w:hAnsiTheme="minorHAnsi"/>
          <w:color w:val="000000"/>
          <w:sz w:val="22"/>
          <w:szCs w:val="22"/>
        </w:rPr>
        <w:t xml:space="preserve">  It constitutes a fourth and separate category in the framework for ad hominem and standard academic salary processes and covers activities that relate to how the university engages with broader society at multiple levels including, international, national, provincial, </w:t>
      </w:r>
      <w:proofErr w:type="gramStart"/>
      <w:r w:rsidRPr="00C7588B">
        <w:rPr>
          <w:rFonts w:asciiTheme="minorHAnsi" w:hAnsiTheme="minorHAnsi"/>
          <w:color w:val="000000"/>
          <w:sz w:val="22"/>
          <w:szCs w:val="22"/>
        </w:rPr>
        <w:t>local</w:t>
      </w:r>
      <w:proofErr w:type="gramEnd"/>
      <w:r w:rsidRPr="00C7588B">
        <w:rPr>
          <w:rFonts w:asciiTheme="minorHAnsi" w:hAnsiTheme="minorHAnsi"/>
          <w:color w:val="000000"/>
          <w:sz w:val="22"/>
          <w:szCs w:val="22"/>
        </w:rPr>
        <w:t xml:space="preserve"> and community level. </w:t>
      </w:r>
    </w:p>
    <w:p w:rsidR="00E117F3" w:rsidRPr="00C7588B"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 xml:space="preserve">Social responsiveness activities include the production and dissemination of knowledge for public benefit or the public good; public policy dialogue and advice; service learning and community-based education; and professional </w:t>
      </w:r>
      <w:r>
        <w:rPr>
          <w:rFonts w:asciiTheme="minorHAnsi" w:hAnsiTheme="minorHAnsi"/>
          <w:color w:val="000000"/>
          <w:sz w:val="22"/>
          <w:szCs w:val="22"/>
        </w:rPr>
        <w:t xml:space="preserve">and </w:t>
      </w:r>
      <w:r w:rsidRPr="00C7588B">
        <w:rPr>
          <w:rFonts w:asciiTheme="minorHAnsi" w:hAnsiTheme="minorHAnsi"/>
          <w:color w:val="000000"/>
          <w:sz w:val="22"/>
          <w:szCs w:val="22"/>
        </w:rPr>
        <w:t>disciplinary</w:t>
      </w:r>
      <w:r>
        <w:rPr>
          <w:rFonts w:asciiTheme="minorHAnsi" w:hAnsiTheme="minorHAnsi"/>
          <w:color w:val="000000"/>
          <w:sz w:val="22"/>
          <w:szCs w:val="22"/>
        </w:rPr>
        <w:t xml:space="preserve"> engagement with non-academic constituencies.</w:t>
      </w:r>
      <w:r w:rsidRPr="00C7588B">
        <w:rPr>
          <w:rFonts w:asciiTheme="minorHAnsi" w:hAnsiTheme="minorHAnsi"/>
          <w:color w:val="000000"/>
          <w:sz w:val="22"/>
          <w:szCs w:val="22"/>
        </w:rPr>
        <w:t xml:space="preserve"> Examples might include: strategic and contract research and consultancies for public benefit; patents, artefacts and instruments; maps and plans; policy document preparation and review and submissions to government; involvement in continuing education courses and service learning programmes; public dialogue through the media; knowledge transfer through accessible research dissemination or the production of learning materials. </w:t>
      </w:r>
    </w:p>
    <w:p w:rsidR="00137A08"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lastRenderedPageBreak/>
        <w:t xml:space="preserve">The importance of </w:t>
      </w:r>
      <w:proofErr w:type="spellStart"/>
      <w:r w:rsidRPr="00C7588B">
        <w:rPr>
          <w:rFonts w:asciiTheme="minorHAnsi" w:hAnsiTheme="minorHAnsi"/>
          <w:color w:val="000000"/>
          <w:sz w:val="22"/>
          <w:szCs w:val="22"/>
        </w:rPr>
        <w:t>UCT’s</w:t>
      </w:r>
      <w:proofErr w:type="spellEnd"/>
      <w:r w:rsidRPr="00C7588B">
        <w:rPr>
          <w:rFonts w:asciiTheme="minorHAnsi" w:hAnsiTheme="minorHAnsi"/>
          <w:color w:val="000000"/>
          <w:sz w:val="22"/>
          <w:szCs w:val="22"/>
        </w:rPr>
        <w:t xml:space="preserve"> engagement with external constituencies for public benefit or public good is a strategic goal, and </w:t>
      </w:r>
      <w:r w:rsidR="00C41179">
        <w:rPr>
          <w:rFonts w:asciiTheme="minorHAnsi" w:hAnsiTheme="minorHAnsi"/>
          <w:color w:val="000000"/>
          <w:sz w:val="22"/>
          <w:szCs w:val="22"/>
        </w:rPr>
        <w:t>d</w:t>
      </w:r>
      <w:r w:rsidRPr="00C7588B">
        <w:rPr>
          <w:rFonts w:asciiTheme="minorHAnsi" w:hAnsiTheme="minorHAnsi"/>
          <w:color w:val="000000"/>
          <w:sz w:val="22"/>
          <w:szCs w:val="22"/>
        </w:rPr>
        <w:t xml:space="preserve">eans of </w:t>
      </w:r>
      <w:r w:rsidR="00C41179">
        <w:rPr>
          <w:rFonts w:asciiTheme="minorHAnsi" w:hAnsiTheme="minorHAnsi"/>
          <w:color w:val="000000"/>
          <w:sz w:val="22"/>
          <w:szCs w:val="22"/>
        </w:rPr>
        <w:t>f</w:t>
      </w:r>
      <w:r w:rsidRPr="00C7588B">
        <w:rPr>
          <w:rFonts w:asciiTheme="minorHAnsi" w:hAnsiTheme="minorHAnsi"/>
          <w:color w:val="000000"/>
          <w:sz w:val="22"/>
          <w:szCs w:val="22"/>
        </w:rPr>
        <w:t xml:space="preserve">aculties and </w:t>
      </w:r>
      <w:r w:rsidR="00C41179">
        <w:rPr>
          <w:rFonts w:asciiTheme="minorHAnsi" w:hAnsiTheme="minorHAnsi"/>
          <w:color w:val="000000"/>
          <w:sz w:val="22"/>
          <w:szCs w:val="22"/>
        </w:rPr>
        <w:t>h</w:t>
      </w:r>
      <w:r w:rsidRPr="00C7588B">
        <w:rPr>
          <w:rFonts w:asciiTheme="minorHAnsi" w:hAnsiTheme="minorHAnsi"/>
          <w:color w:val="000000"/>
          <w:sz w:val="22"/>
          <w:szCs w:val="22"/>
        </w:rPr>
        <w:t xml:space="preserve">eads of </w:t>
      </w:r>
      <w:r w:rsidR="00C41179">
        <w:rPr>
          <w:rFonts w:asciiTheme="minorHAnsi" w:hAnsiTheme="minorHAnsi"/>
          <w:color w:val="000000"/>
          <w:sz w:val="22"/>
          <w:szCs w:val="22"/>
        </w:rPr>
        <w:t>d</w:t>
      </w:r>
      <w:r w:rsidRPr="00C7588B">
        <w:rPr>
          <w:rFonts w:asciiTheme="minorHAnsi" w:hAnsiTheme="minorHAnsi"/>
          <w:color w:val="000000"/>
          <w:sz w:val="22"/>
          <w:szCs w:val="22"/>
        </w:rPr>
        <w:t xml:space="preserve">epartment are expected to report annually on the socially responsive activities in the areas </w:t>
      </w:r>
      <w:r w:rsidR="00137A08">
        <w:rPr>
          <w:rFonts w:asciiTheme="minorHAnsi" w:hAnsiTheme="minorHAnsi"/>
          <w:color w:val="000000"/>
          <w:sz w:val="22"/>
          <w:szCs w:val="22"/>
        </w:rPr>
        <w:t>for which they are responsible, and to ensure that such activities are encouraged and given proper recognition in assessments and in ad hominem promotion procedures.</w:t>
      </w:r>
    </w:p>
    <w:p w:rsidR="00E117F3" w:rsidRPr="00C7588B" w:rsidRDefault="00E117F3" w:rsidP="00C71EBF">
      <w:pPr>
        <w:autoSpaceDE w:val="0"/>
        <w:autoSpaceDN w:val="0"/>
        <w:adjustRightInd w:val="0"/>
        <w:spacing w:before="120" w:after="120" w:line="320" w:lineRule="atLeast"/>
        <w:jc w:val="both"/>
        <w:rPr>
          <w:rFonts w:asciiTheme="minorHAnsi" w:hAnsiTheme="minorHAnsi"/>
          <w:color w:val="000000"/>
          <w:sz w:val="22"/>
          <w:szCs w:val="22"/>
        </w:rPr>
      </w:pPr>
      <w:r w:rsidRPr="00C7588B">
        <w:rPr>
          <w:rFonts w:asciiTheme="minorHAnsi" w:hAnsiTheme="minorHAnsi"/>
          <w:color w:val="000000"/>
          <w:sz w:val="22"/>
          <w:szCs w:val="22"/>
        </w:rPr>
        <w:t>The demonstration of social responsiveness through teaching and learning, research and/or public service is</w:t>
      </w:r>
      <w:r>
        <w:rPr>
          <w:rFonts w:asciiTheme="minorHAnsi" w:hAnsiTheme="minorHAnsi"/>
          <w:color w:val="000000"/>
          <w:sz w:val="22"/>
          <w:szCs w:val="22"/>
        </w:rPr>
        <w:t xml:space="preserve"> required of all faculties.</w:t>
      </w:r>
      <w:r w:rsidRPr="00C7588B">
        <w:rPr>
          <w:rFonts w:asciiTheme="minorHAnsi" w:hAnsiTheme="minorHAnsi"/>
          <w:color w:val="000000"/>
          <w:sz w:val="22"/>
          <w:szCs w:val="22"/>
        </w:rPr>
        <w:t xml:space="preserve"> It is recognised however that some disciplines lend themselves more easily to social responsiveness activities than others, and that these activities vary widely, and do not align in any simple way to academic seniority or rank. For these reasons </w:t>
      </w:r>
      <w:r w:rsidR="00C77E3B">
        <w:rPr>
          <w:rFonts w:asciiTheme="minorHAnsi" w:hAnsiTheme="minorHAnsi"/>
          <w:color w:val="000000"/>
          <w:sz w:val="22"/>
          <w:szCs w:val="22"/>
        </w:rPr>
        <w:t xml:space="preserve">the faculty criteria in many cases provide for flexibility through a weighting system in assessing activities related to </w:t>
      </w:r>
      <w:r w:rsidRPr="00C7588B">
        <w:rPr>
          <w:rFonts w:asciiTheme="minorHAnsi" w:hAnsiTheme="minorHAnsi"/>
          <w:color w:val="000000"/>
          <w:sz w:val="22"/>
          <w:szCs w:val="22"/>
        </w:rPr>
        <w:t>social responsiveness</w:t>
      </w:r>
      <w:r w:rsidR="00C77E3B">
        <w:rPr>
          <w:rFonts w:asciiTheme="minorHAnsi" w:hAnsiTheme="minorHAnsi"/>
          <w:color w:val="000000"/>
          <w:sz w:val="22"/>
          <w:szCs w:val="22"/>
        </w:rPr>
        <w:t>.</w:t>
      </w:r>
      <w:r>
        <w:rPr>
          <w:rFonts w:asciiTheme="minorHAnsi" w:hAnsiTheme="minorHAnsi"/>
          <w:color w:val="000000"/>
          <w:sz w:val="22"/>
          <w:szCs w:val="22"/>
        </w:rPr>
        <w:t xml:space="preserve"> </w:t>
      </w:r>
    </w:p>
    <w:p w:rsidR="005E17D2" w:rsidRDefault="005E17D2" w:rsidP="005E17D2">
      <w:pPr>
        <w:spacing w:after="200" w:line="276" w:lineRule="auto"/>
        <w:rPr>
          <w:rFonts w:ascii="Calibri" w:hAnsi="Calibri"/>
          <w:b/>
          <w:sz w:val="22"/>
          <w:szCs w:val="22"/>
        </w:rPr>
      </w:pPr>
    </w:p>
    <w:p w:rsidR="00437C05" w:rsidRPr="005E17D2" w:rsidRDefault="008A6EB5" w:rsidP="005E17D2">
      <w:pPr>
        <w:spacing w:after="200" w:line="276" w:lineRule="auto"/>
        <w:rPr>
          <w:rFonts w:ascii="Calibri" w:hAnsi="Calibri"/>
          <w:b/>
          <w:sz w:val="22"/>
          <w:szCs w:val="22"/>
        </w:rPr>
      </w:pPr>
      <w:r>
        <w:rPr>
          <w:rFonts w:ascii="Calibri" w:hAnsi="Calibri"/>
          <w:b/>
          <w:smallCaps/>
        </w:rPr>
        <w:t>5</w:t>
      </w:r>
      <w:r w:rsidR="003C05F3" w:rsidRPr="003C05F3">
        <w:rPr>
          <w:rFonts w:ascii="Calibri" w:hAnsi="Calibri"/>
          <w:b/>
          <w:smallCaps/>
        </w:rPr>
        <w:t xml:space="preserve">.   </w:t>
      </w:r>
      <w:r w:rsidR="00D02C3F" w:rsidRPr="003C05F3">
        <w:rPr>
          <w:rFonts w:ascii="Calibri" w:hAnsi="Calibri"/>
          <w:b/>
          <w:smallCaps/>
        </w:rPr>
        <w:t>Recommendations on m</w:t>
      </w:r>
      <w:r w:rsidR="00437C05" w:rsidRPr="003C05F3">
        <w:rPr>
          <w:rFonts w:ascii="Calibri" w:hAnsi="Calibri"/>
          <w:b/>
          <w:smallCaps/>
        </w:rPr>
        <w:t>anagement of staff and related support</w:t>
      </w:r>
    </w:p>
    <w:p w:rsidR="00437C05" w:rsidRDefault="00437C05" w:rsidP="00C71EBF">
      <w:pPr>
        <w:spacing w:before="120" w:after="120" w:line="320" w:lineRule="atLeast"/>
        <w:jc w:val="both"/>
        <w:rPr>
          <w:rFonts w:ascii="Calibri" w:hAnsi="Calibri"/>
          <w:sz w:val="22"/>
          <w:szCs w:val="22"/>
        </w:rPr>
      </w:pPr>
      <w:r w:rsidRPr="00DE3538">
        <w:rPr>
          <w:rFonts w:ascii="Calibri" w:hAnsi="Calibri"/>
          <w:sz w:val="22"/>
          <w:szCs w:val="22"/>
          <w:lang w:val="en-GB"/>
        </w:rPr>
        <w:t xml:space="preserve">Experience with the current system of performance management has emphasised the need for clarification of the role of </w:t>
      </w:r>
      <w:r w:rsidR="00A42ADA">
        <w:rPr>
          <w:rFonts w:ascii="Calibri" w:hAnsi="Calibri"/>
          <w:sz w:val="22"/>
          <w:szCs w:val="22"/>
          <w:lang w:val="en-GB"/>
        </w:rPr>
        <w:t>h</w:t>
      </w:r>
      <w:r w:rsidRPr="00DE3538">
        <w:rPr>
          <w:rFonts w:ascii="Calibri" w:hAnsi="Calibri"/>
          <w:sz w:val="22"/>
          <w:szCs w:val="22"/>
          <w:lang w:val="en-GB"/>
        </w:rPr>
        <w:t xml:space="preserve">eads of </w:t>
      </w:r>
      <w:r w:rsidR="00A42ADA">
        <w:rPr>
          <w:rFonts w:ascii="Calibri" w:hAnsi="Calibri"/>
          <w:sz w:val="22"/>
          <w:szCs w:val="22"/>
          <w:lang w:val="en-GB"/>
        </w:rPr>
        <w:t>d</w:t>
      </w:r>
      <w:r w:rsidRPr="00DE3538">
        <w:rPr>
          <w:rFonts w:ascii="Calibri" w:hAnsi="Calibri"/>
          <w:sz w:val="22"/>
          <w:szCs w:val="22"/>
          <w:lang w:val="en-GB"/>
        </w:rPr>
        <w:t xml:space="preserve">epartment in the process of setting and approving performance objectives, and in carrying out assessments. Likewise, the current system has highlighted the need for a </w:t>
      </w:r>
      <w:r w:rsidRPr="00DE3538">
        <w:rPr>
          <w:rFonts w:ascii="Calibri" w:hAnsi="Calibri"/>
          <w:sz w:val="22"/>
          <w:szCs w:val="22"/>
        </w:rPr>
        <w:t xml:space="preserve">clearly defined process of communication of expectation and feedback. </w:t>
      </w:r>
    </w:p>
    <w:p w:rsidR="008C5F72" w:rsidRDefault="00D02C3F" w:rsidP="00C71EBF">
      <w:pPr>
        <w:spacing w:before="120" w:after="120" w:line="320" w:lineRule="atLeast"/>
        <w:jc w:val="both"/>
        <w:rPr>
          <w:rFonts w:ascii="Calibri" w:hAnsi="Calibri"/>
          <w:sz w:val="22"/>
          <w:szCs w:val="22"/>
        </w:rPr>
      </w:pPr>
      <w:r>
        <w:rPr>
          <w:rFonts w:ascii="Calibri" w:hAnsi="Calibri"/>
          <w:sz w:val="22"/>
          <w:szCs w:val="22"/>
        </w:rPr>
        <w:t xml:space="preserve">The following sections give details of recommendations in respect of the management of performance objectives and related communication. </w:t>
      </w:r>
    </w:p>
    <w:p w:rsidR="00437C05" w:rsidRPr="00DE3538" w:rsidRDefault="005E17D2" w:rsidP="00C71EBF">
      <w:pPr>
        <w:spacing w:before="120" w:after="120" w:line="320" w:lineRule="atLeast"/>
        <w:jc w:val="both"/>
        <w:rPr>
          <w:rFonts w:ascii="Calibri" w:hAnsi="Calibri"/>
          <w:b/>
          <w:i/>
          <w:sz w:val="22"/>
          <w:szCs w:val="22"/>
          <w:lang w:val="en-GB"/>
        </w:rPr>
      </w:pPr>
      <w:r>
        <w:rPr>
          <w:rFonts w:ascii="Calibri" w:hAnsi="Calibri"/>
          <w:b/>
          <w:i/>
          <w:sz w:val="22"/>
          <w:szCs w:val="22"/>
          <w:lang w:val="en-GB"/>
        </w:rPr>
        <w:t xml:space="preserve">5.1 </w:t>
      </w:r>
      <w:r w:rsidR="00437C05" w:rsidRPr="00DE3538">
        <w:rPr>
          <w:rFonts w:ascii="Calibri" w:hAnsi="Calibri"/>
          <w:b/>
          <w:i/>
          <w:sz w:val="22"/>
          <w:szCs w:val="22"/>
          <w:lang w:val="en-GB"/>
        </w:rPr>
        <w:t xml:space="preserve">Recommendations on </w:t>
      </w:r>
      <w:r w:rsidR="00D02C3F">
        <w:rPr>
          <w:rFonts w:ascii="Calibri" w:hAnsi="Calibri"/>
          <w:b/>
          <w:i/>
          <w:sz w:val="22"/>
          <w:szCs w:val="22"/>
          <w:lang w:val="en-GB"/>
        </w:rPr>
        <w:t xml:space="preserve">management of </w:t>
      </w:r>
      <w:r w:rsidR="00437C05" w:rsidRPr="00DE3538">
        <w:rPr>
          <w:rFonts w:ascii="Calibri" w:hAnsi="Calibri"/>
          <w:b/>
          <w:i/>
          <w:sz w:val="22"/>
          <w:szCs w:val="22"/>
          <w:lang w:val="en-GB"/>
        </w:rPr>
        <w:t>performance objectives</w:t>
      </w:r>
    </w:p>
    <w:p w:rsidR="00B73A83" w:rsidRDefault="00B73A83" w:rsidP="00C71EBF">
      <w:pPr>
        <w:numPr>
          <w:ilvl w:val="0"/>
          <w:numId w:val="6"/>
        </w:numPr>
        <w:tabs>
          <w:tab w:val="left" w:pos="1080"/>
        </w:tabs>
        <w:spacing w:before="120" w:after="120" w:line="320" w:lineRule="atLeast"/>
        <w:jc w:val="both"/>
        <w:rPr>
          <w:rFonts w:ascii="Calibri" w:hAnsi="Calibri"/>
          <w:sz w:val="22"/>
          <w:szCs w:val="22"/>
        </w:rPr>
      </w:pPr>
      <w:r>
        <w:rPr>
          <w:rFonts w:ascii="Calibri" w:hAnsi="Calibri"/>
          <w:sz w:val="22"/>
          <w:szCs w:val="22"/>
        </w:rPr>
        <w:t>The purpose of asses</w:t>
      </w:r>
      <w:r w:rsidR="007F2DDE">
        <w:rPr>
          <w:rFonts w:ascii="Calibri" w:hAnsi="Calibri"/>
          <w:sz w:val="22"/>
          <w:szCs w:val="22"/>
        </w:rPr>
        <w:t>sments is to ensure that expected</w:t>
      </w:r>
      <w:r>
        <w:rPr>
          <w:rFonts w:ascii="Calibri" w:hAnsi="Calibri"/>
          <w:sz w:val="22"/>
          <w:szCs w:val="22"/>
        </w:rPr>
        <w:t xml:space="preserve"> standards are met in respect of the major areas of responsibility of academic staff, and furthermore to promote good scholarship, teaching, and social responsiveness beyond the minimum levels.   </w:t>
      </w:r>
    </w:p>
    <w:p w:rsidR="009E45E6" w:rsidRPr="00DE3538" w:rsidRDefault="00437C05" w:rsidP="00C71EBF">
      <w:pPr>
        <w:numPr>
          <w:ilvl w:val="0"/>
          <w:numId w:val="6"/>
        </w:numPr>
        <w:tabs>
          <w:tab w:val="left" w:pos="1080"/>
        </w:tabs>
        <w:spacing w:before="120" w:after="120" w:line="320" w:lineRule="atLeast"/>
        <w:jc w:val="both"/>
        <w:rPr>
          <w:rFonts w:ascii="Calibri" w:hAnsi="Calibri"/>
          <w:sz w:val="22"/>
          <w:szCs w:val="22"/>
        </w:rPr>
      </w:pPr>
      <w:r w:rsidRPr="00DE3538">
        <w:rPr>
          <w:rFonts w:ascii="Calibri" w:hAnsi="Calibri"/>
          <w:sz w:val="22"/>
          <w:szCs w:val="22"/>
        </w:rPr>
        <w:t xml:space="preserve">Deans should advise </w:t>
      </w:r>
      <w:r w:rsidR="00A42ADA">
        <w:rPr>
          <w:rFonts w:ascii="Calibri" w:hAnsi="Calibri"/>
          <w:sz w:val="22"/>
          <w:szCs w:val="22"/>
        </w:rPr>
        <w:t>h</w:t>
      </w:r>
      <w:r w:rsidRPr="00DE3538">
        <w:rPr>
          <w:rFonts w:ascii="Calibri" w:hAnsi="Calibri"/>
          <w:sz w:val="22"/>
          <w:szCs w:val="22"/>
        </w:rPr>
        <w:t xml:space="preserve">eads of </w:t>
      </w:r>
      <w:r w:rsidR="00A42ADA">
        <w:rPr>
          <w:rFonts w:ascii="Calibri" w:hAnsi="Calibri"/>
          <w:sz w:val="22"/>
          <w:szCs w:val="22"/>
        </w:rPr>
        <w:t>d</w:t>
      </w:r>
      <w:r w:rsidRPr="00DE3538">
        <w:rPr>
          <w:rFonts w:ascii="Calibri" w:hAnsi="Calibri"/>
          <w:sz w:val="22"/>
          <w:szCs w:val="22"/>
        </w:rPr>
        <w:t xml:space="preserve">epartment on expectations with respect to academic staff </w:t>
      </w:r>
      <w:r w:rsidR="00CD1842">
        <w:rPr>
          <w:rFonts w:ascii="Calibri" w:hAnsi="Calibri"/>
          <w:sz w:val="22"/>
          <w:szCs w:val="22"/>
        </w:rPr>
        <w:t>work</w:t>
      </w:r>
      <w:r w:rsidRPr="00DE3538">
        <w:rPr>
          <w:rFonts w:ascii="Calibri" w:hAnsi="Calibri"/>
          <w:sz w:val="22"/>
          <w:szCs w:val="22"/>
        </w:rPr>
        <w:t>loads and performance levels, and of allowable nuances in applying the performance criteria</w:t>
      </w:r>
      <w:r w:rsidR="00137A08">
        <w:rPr>
          <w:rFonts w:ascii="Calibri" w:hAnsi="Calibri"/>
          <w:sz w:val="22"/>
          <w:szCs w:val="22"/>
        </w:rPr>
        <w:t>.</w:t>
      </w:r>
      <w:r w:rsidRPr="00DE3538">
        <w:rPr>
          <w:rFonts w:ascii="Calibri" w:hAnsi="Calibri"/>
          <w:sz w:val="22"/>
          <w:szCs w:val="22"/>
        </w:rPr>
        <w:t xml:space="preserve"> </w:t>
      </w:r>
    </w:p>
    <w:p w:rsidR="00437C05" w:rsidRPr="00DE3538" w:rsidRDefault="00437C05" w:rsidP="00C71EBF">
      <w:pPr>
        <w:numPr>
          <w:ilvl w:val="0"/>
          <w:numId w:val="6"/>
        </w:numPr>
        <w:tabs>
          <w:tab w:val="left" w:pos="1080"/>
        </w:tabs>
        <w:spacing w:before="120" w:after="120" w:line="320" w:lineRule="atLeast"/>
        <w:jc w:val="both"/>
        <w:rPr>
          <w:rFonts w:ascii="Calibri" w:hAnsi="Calibri"/>
          <w:sz w:val="22"/>
          <w:szCs w:val="22"/>
        </w:rPr>
      </w:pPr>
      <w:r w:rsidRPr="00DE3538">
        <w:rPr>
          <w:rFonts w:ascii="Calibri" w:hAnsi="Calibri"/>
          <w:sz w:val="22"/>
          <w:szCs w:val="22"/>
        </w:rPr>
        <w:t xml:space="preserve">Heads of </w:t>
      </w:r>
      <w:r w:rsidR="00A42ADA">
        <w:rPr>
          <w:rFonts w:ascii="Calibri" w:hAnsi="Calibri"/>
          <w:sz w:val="22"/>
          <w:szCs w:val="22"/>
        </w:rPr>
        <w:t>d</w:t>
      </w:r>
      <w:r w:rsidRPr="00DE3538">
        <w:rPr>
          <w:rFonts w:ascii="Calibri" w:hAnsi="Calibri"/>
          <w:sz w:val="22"/>
          <w:szCs w:val="22"/>
        </w:rPr>
        <w:t xml:space="preserve">epartment should engage actively and regularly with their </w:t>
      </w:r>
      <w:r w:rsidR="00A42ADA">
        <w:rPr>
          <w:rFonts w:ascii="Calibri" w:hAnsi="Calibri"/>
          <w:sz w:val="22"/>
          <w:szCs w:val="22"/>
        </w:rPr>
        <w:t>d</w:t>
      </w:r>
      <w:r w:rsidRPr="00DE3538">
        <w:rPr>
          <w:rFonts w:ascii="Calibri" w:hAnsi="Calibri"/>
          <w:sz w:val="22"/>
          <w:szCs w:val="22"/>
        </w:rPr>
        <w:t xml:space="preserve">ean (at one end) and staff members (at the other end) </w:t>
      </w:r>
      <w:r w:rsidR="00137A08">
        <w:rPr>
          <w:rFonts w:ascii="Calibri" w:hAnsi="Calibri"/>
          <w:sz w:val="22"/>
          <w:szCs w:val="22"/>
        </w:rPr>
        <w:t>around performance expectations, with objectives for each cycle being agreed at a meeting called for this purpose.</w:t>
      </w:r>
    </w:p>
    <w:p w:rsidR="007F2DDE" w:rsidRDefault="00437C05" w:rsidP="00C71EBF">
      <w:pPr>
        <w:numPr>
          <w:ilvl w:val="0"/>
          <w:numId w:val="6"/>
        </w:numPr>
        <w:tabs>
          <w:tab w:val="left" w:pos="1080"/>
        </w:tabs>
        <w:spacing w:before="120" w:after="120" w:line="320" w:lineRule="atLeast"/>
        <w:jc w:val="both"/>
        <w:rPr>
          <w:rFonts w:ascii="Calibri" w:hAnsi="Calibri"/>
          <w:sz w:val="22"/>
          <w:szCs w:val="22"/>
        </w:rPr>
      </w:pPr>
      <w:r w:rsidRPr="00DE3538">
        <w:rPr>
          <w:rFonts w:ascii="Calibri" w:hAnsi="Calibri"/>
          <w:sz w:val="22"/>
          <w:szCs w:val="22"/>
        </w:rPr>
        <w:t xml:space="preserve">Decisions </w:t>
      </w:r>
      <w:r w:rsidR="00CD1842">
        <w:rPr>
          <w:rFonts w:ascii="Calibri" w:hAnsi="Calibri"/>
          <w:sz w:val="22"/>
          <w:szCs w:val="22"/>
        </w:rPr>
        <w:t>on</w:t>
      </w:r>
      <w:r w:rsidRPr="00DE3538">
        <w:rPr>
          <w:rFonts w:ascii="Calibri" w:hAnsi="Calibri"/>
          <w:sz w:val="22"/>
          <w:szCs w:val="22"/>
        </w:rPr>
        <w:t xml:space="preserve"> performance by the </w:t>
      </w:r>
      <w:r w:rsidR="00A42ADA">
        <w:rPr>
          <w:rFonts w:ascii="Calibri" w:hAnsi="Calibri"/>
          <w:sz w:val="22"/>
          <w:szCs w:val="22"/>
        </w:rPr>
        <w:t>h</w:t>
      </w:r>
      <w:r w:rsidRPr="00DE3538">
        <w:rPr>
          <w:rFonts w:ascii="Calibri" w:hAnsi="Calibri"/>
          <w:sz w:val="22"/>
          <w:szCs w:val="22"/>
        </w:rPr>
        <w:t xml:space="preserve">ead should be seen and understood as recommendations by the </w:t>
      </w:r>
      <w:r w:rsidR="00A42ADA">
        <w:rPr>
          <w:rFonts w:ascii="Calibri" w:hAnsi="Calibri"/>
          <w:sz w:val="22"/>
          <w:szCs w:val="22"/>
        </w:rPr>
        <w:t>h</w:t>
      </w:r>
      <w:r w:rsidRPr="00DE3538">
        <w:rPr>
          <w:rFonts w:ascii="Calibri" w:hAnsi="Calibri"/>
          <w:sz w:val="22"/>
          <w:szCs w:val="22"/>
        </w:rPr>
        <w:t xml:space="preserve">ead to the </w:t>
      </w:r>
      <w:r w:rsidR="00A42ADA">
        <w:rPr>
          <w:rFonts w:ascii="Calibri" w:hAnsi="Calibri"/>
          <w:sz w:val="22"/>
          <w:szCs w:val="22"/>
        </w:rPr>
        <w:t>d</w:t>
      </w:r>
      <w:r w:rsidRPr="00DE3538">
        <w:rPr>
          <w:rFonts w:ascii="Calibri" w:hAnsi="Calibri"/>
          <w:sz w:val="22"/>
          <w:szCs w:val="22"/>
        </w:rPr>
        <w:t>ean, and should be supported by relevant documentation.</w:t>
      </w:r>
    </w:p>
    <w:p w:rsidR="000A4D51" w:rsidRPr="000A4D51" w:rsidRDefault="007F2DDE" w:rsidP="007F2DDE">
      <w:pPr>
        <w:numPr>
          <w:ilvl w:val="0"/>
          <w:numId w:val="6"/>
        </w:numPr>
        <w:tabs>
          <w:tab w:val="left" w:pos="1080"/>
        </w:tabs>
        <w:spacing w:before="120" w:after="120" w:line="320" w:lineRule="atLeast"/>
        <w:jc w:val="both"/>
        <w:rPr>
          <w:rFonts w:ascii="Calibri" w:hAnsi="Calibri"/>
          <w:sz w:val="22"/>
          <w:szCs w:val="22"/>
        </w:rPr>
      </w:pPr>
      <w:r w:rsidRPr="007F2DDE">
        <w:rPr>
          <w:rFonts w:asciiTheme="minorHAnsi" w:hAnsiTheme="minorHAnsi"/>
          <w:color w:val="000000"/>
          <w:sz w:val="22"/>
          <w:szCs w:val="22"/>
        </w:rPr>
        <w:t>T</w:t>
      </w:r>
      <w:r w:rsidRPr="007F2DDE">
        <w:rPr>
          <w:rFonts w:asciiTheme="minorHAnsi" w:hAnsiTheme="minorHAnsi"/>
          <w:sz w:val="22"/>
          <w:szCs w:val="22"/>
        </w:rPr>
        <w:t xml:space="preserve">he expected performance level for a member of the academic staff will be based on the criteria used for ad hominem promotions in each faculty, using applicable weightings for each category where allowed by the relevant faculty, and taking rank into account.  An evaluation of performance every four years will be undertaken by the head of department or, where requested, by the head and a senior colleague, with the member of staff concerned and an aggregate score or range calculated. </w:t>
      </w:r>
      <w:r>
        <w:rPr>
          <w:rFonts w:asciiTheme="minorHAnsi" w:hAnsiTheme="minorHAnsi"/>
          <w:sz w:val="22"/>
          <w:szCs w:val="22"/>
        </w:rPr>
        <w:t>In the case of the Faculty of Health Sciences the role of the head of department may be assumed by the head of division.</w:t>
      </w:r>
      <w:r w:rsidRPr="007F2DDE">
        <w:rPr>
          <w:rFonts w:asciiTheme="minorHAnsi" w:hAnsiTheme="minorHAnsi"/>
          <w:sz w:val="22"/>
          <w:szCs w:val="22"/>
        </w:rPr>
        <w:t xml:space="preserve"> </w:t>
      </w:r>
    </w:p>
    <w:p w:rsidR="007F2DDE" w:rsidRPr="007F2DDE" w:rsidRDefault="007F2DDE" w:rsidP="007F2DDE">
      <w:pPr>
        <w:numPr>
          <w:ilvl w:val="0"/>
          <w:numId w:val="6"/>
        </w:numPr>
        <w:tabs>
          <w:tab w:val="left" w:pos="1080"/>
        </w:tabs>
        <w:spacing w:before="120" w:after="120" w:line="320" w:lineRule="atLeast"/>
        <w:jc w:val="both"/>
        <w:rPr>
          <w:rFonts w:ascii="Calibri" w:hAnsi="Calibri"/>
          <w:sz w:val="22"/>
          <w:szCs w:val="22"/>
        </w:rPr>
      </w:pPr>
      <w:r w:rsidRPr="007F2DDE">
        <w:rPr>
          <w:rFonts w:asciiTheme="minorHAnsi" w:hAnsiTheme="minorHAnsi"/>
          <w:sz w:val="22"/>
        </w:rPr>
        <w:t>Non-standard allocation of academic duties based on operational need and agreed in advance by the staff member, head of department and dean is possible within this performance management structure for academic staff.  In such cases, the evaluation of performance and scores will be based on the agreed set of duties.</w:t>
      </w:r>
    </w:p>
    <w:p w:rsidR="008D1D9F" w:rsidRPr="000A4D51" w:rsidRDefault="008D1D9F" w:rsidP="000A4D51">
      <w:pPr>
        <w:numPr>
          <w:ilvl w:val="0"/>
          <w:numId w:val="6"/>
        </w:numPr>
        <w:tabs>
          <w:tab w:val="left" w:pos="1080"/>
        </w:tabs>
        <w:spacing w:before="120" w:after="120" w:line="320" w:lineRule="atLeast"/>
        <w:jc w:val="both"/>
        <w:rPr>
          <w:rFonts w:ascii="Calibri" w:hAnsi="Calibri"/>
          <w:b/>
          <w:sz w:val="22"/>
          <w:szCs w:val="22"/>
          <w:lang w:val="en-US"/>
        </w:rPr>
      </w:pPr>
      <w:r w:rsidRPr="000A4D51">
        <w:rPr>
          <w:rFonts w:ascii="Calibri" w:hAnsi="Calibri"/>
          <w:sz w:val="22"/>
          <w:szCs w:val="22"/>
        </w:rPr>
        <w:t xml:space="preserve">The cycle of major assessments is proposed to be </w:t>
      </w:r>
      <w:r w:rsidRPr="000A4D51">
        <w:rPr>
          <w:rFonts w:ascii="Calibri" w:hAnsi="Calibri"/>
          <w:b/>
          <w:sz w:val="22"/>
          <w:szCs w:val="22"/>
        </w:rPr>
        <w:t>four years</w:t>
      </w:r>
      <w:r w:rsidR="007F7360" w:rsidRPr="000A4D51">
        <w:rPr>
          <w:rFonts w:ascii="Calibri" w:hAnsi="Calibri"/>
          <w:sz w:val="22"/>
          <w:szCs w:val="22"/>
        </w:rPr>
        <w:t>. Biennial r</w:t>
      </w:r>
      <w:r w:rsidRPr="000A4D51">
        <w:rPr>
          <w:rFonts w:ascii="Calibri" w:hAnsi="Calibri"/>
          <w:sz w:val="22"/>
          <w:szCs w:val="22"/>
        </w:rPr>
        <w:t>eviews will be conducted on the basis of the comple</w:t>
      </w:r>
      <w:r w:rsidR="007F7360" w:rsidRPr="000A4D51">
        <w:rPr>
          <w:rFonts w:ascii="Calibri" w:hAnsi="Calibri"/>
          <w:sz w:val="22"/>
          <w:szCs w:val="22"/>
        </w:rPr>
        <w:t xml:space="preserve">ted </w:t>
      </w:r>
      <w:proofErr w:type="spellStart"/>
      <w:r w:rsidR="007F7360" w:rsidRPr="000A4D51">
        <w:rPr>
          <w:rFonts w:ascii="Calibri" w:hAnsi="Calibri"/>
          <w:sz w:val="22"/>
          <w:szCs w:val="22"/>
        </w:rPr>
        <w:t>HR174</w:t>
      </w:r>
      <w:proofErr w:type="spellEnd"/>
      <w:r w:rsidR="007F7360" w:rsidRPr="000A4D51">
        <w:rPr>
          <w:rFonts w:ascii="Calibri" w:hAnsi="Calibri"/>
          <w:sz w:val="22"/>
          <w:szCs w:val="22"/>
        </w:rPr>
        <w:t xml:space="preserve"> form by staff members.</w:t>
      </w:r>
      <w:r w:rsidRPr="000A4D51">
        <w:rPr>
          <w:rFonts w:ascii="Calibri" w:hAnsi="Calibri"/>
          <w:sz w:val="22"/>
          <w:szCs w:val="22"/>
        </w:rPr>
        <w:t xml:space="preserve"> </w:t>
      </w:r>
      <w:r w:rsidR="007F7360" w:rsidRPr="000A4D51">
        <w:rPr>
          <w:rFonts w:ascii="Calibri" w:hAnsi="Calibri"/>
          <w:sz w:val="22"/>
          <w:szCs w:val="22"/>
        </w:rPr>
        <w:t xml:space="preserve">An interview will </w:t>
      </w:r>
      <w:r w:rsidR="00262F02">
        <w:rPr>
          <w:rFonts w:ascii="Calibri" w:hAnsi="Calibri"/>
          <w:sz w:val="22"/>
          <w:szCs w:val="22"/>
        </w:rPr>
        <w:t xml:space="preserve">take </w:t>
      </w:r>
      <w:r w:rsidRPr="000A4D51">
        <w:rPr>
          <w:rFonts w:ascii="Calibri" w:hAnsi="Calibri"/>
          <w:sz w:val="22"/>
          <w:szCs w:val="22"/>
        </w:rPr>
        <w:t xml:space="preserve">place </w:t>
      </w:r>
      <w:r w:rsidR="00E8155D" w:rsidRPr="000A4D51">
        <w:rPr>
          <w:rFonts w:ascii="Calibri" w:hAnsi="Calibri"/>
          <w:sz w:val="22"/>
          <w:szCs w:val="22"/>
        </w:rPr>
        <w:t xml:space="preserve">in any year </w:t>
      </w:r>
      <w:r w:rsidRPr="000A4D51">
        <w:rPr>
          <w:rFonts w:ascii="Calibri" w:hAnsi="Calibri"/>
          <w:sz w:val="22"/>
          <w:szCs w:val="22"/>
        </w:rPr>
        <w:t xml:space="preserve">if </w:t>
      </w:r>
      <w:r w:rsidR="00E8155D" w:rsidRPr="000A4D51">
        <w:rPr>
          <w:rFonts w:ascii="Calibri" w:hAnsi="Calibri"/>
          <w:sz w:val="22"/>
          <w:szCs w:val="22"/>
        </w:rPr>
        <w:t xml:space="preserve">requested </w:t>
      </w:r>
      <w:r w:rsidRPr="000A4D51">
        <w:rPr>
          <w:rFonts w:ascii="Calibri" w:hAnsi="Calibri"/>
          <w:sz w:val="22"/>
          <w:szCs w:val="22"/>
        </w:rPr>
        <w:t xml:space="preserve">by the head </w:t>
      </w:r>
      <w:r w:rsidRPr="000A4D51">
        <w:rPr>
          <w:rFonts w:ascii="Calibri" w:hAnsi="Calibri"/>
          <w:sz w:val="22"/>
          <w:szCs w:val="22"/>
        </w:rPr>
        <w:lastRenderedPageBreak/>
        <w:t xml:space="preserve">or staff member. </w:t>
      </w:r>
      <w:r w:rsidR="00E8155D" w:rsidRPr="000A4D51">
        <w:rPr>
          <w:rFonts w:ascii="Calibri" w:hAnsi="Calibri"/>
          <w:sz w:val="22"/>
          <w:szCs w:val="22"/>
        </w:rPr>
        <w:t>An interview meeting should take place with any staff member who is likely to be a candid</w:t>
      </w:r>
      <w:r w:rsidR="007F7360" w:rsidRPr="000A4D51">
        <w:rPr>
          <w:rFonts w:ascii="Calibri" w:hAnsi="Calibri"/>
          <w:sz w:val="22"/>
          <w:szCs w:val="22"/>
        </w:rPr>
        <w:t xml:space="preserve">ate for promotion in that year. </w:t>
      </w:r>
      <w:r w:rsidRPr="000A4D51">
        <w:rPr>
          <w:rFonts w:ascii="Calibri" w:hAnsi="Calibri"/>
          <w:sz w:val="22"/>
          <w:szCs w:val="22"/>
        </w:rPr>
        <w:t xml:space="preserve">Face-to face interviews should take place </w:t>
      </w:r>
      <w:r w:rsidR="00E8155D" w:rsidRPr="000A4D51">
        <w:rPr>
          <w:rFonts w:ascii="Calibri" w:hAnsi="Calibri"/>
          <w:sz w:val="22"/>
          <w:szCs w:val="22"/>
        </w:rPr>
        <w:t xml:space="preserve">at least twice in </w:t>
      </w:r>
      <w:r w:rsidRPr="000A4D51">
        <w:rPr>
          <w:rFonts w:ascii="Calibri" w:hAnsi="Calibri"/>
          <w:sz w:val="22"/>
          <w:szCs w:val="22"/>
        </w:rPr>
        <w:t>a four-year cycle</w:t>
      </w:r>
      <w:r w:rsidR="00E8155D" w:rsidRPr="000A4D51">
        <w:rPr>
          <w:rFonts w:ascii="Calibri" w:hAnsi="Calibri"/>
          <w:sz w:val="22"/>
          <w:szCs w:val="22"/>
        </w:rPr>
        <w:t>:  in the fourth year, and ideally midway, that is, in the second year.</w:t>
      </w:r>
    </w:p>
    <w:p w:rsidR="005E17D2" w:rsidRPr="005E17D2" w:rsidRDefault="00437C05" w:rsidP="00C71EBF">
      <w:pPr>
        <w:numPr>
          <w:ilvl w:val="0"/>
          <w:numId w:val="6"/>
        </w:numPr>
        <w:tabs>
          <w:tab w:val="left" w:pos="1080"/>
        </w:tabs>
        <w:spacing w:before="120" w:after="120" w:line="320" w:lineRule="atLeast"/>
        <w:jc w:val="both"/>
        <w:rPr>
          <w:rFonts w:ascii="Calibri" w:hAnsi="Calibri"/>
          <w:b/>
          <w:i/>
          <w:sz w:val="22"/>
          <w:szCs w:val="22"/>
        </w:rPr>
      </w:pPr>
      <w:r w:rsidRPr="008D1D9F">
        <w:rPr>
          <w:rFonts w:ascii="Calibri" w:hAnsi="Calibri"/>
          <w:sz w:val="22"/>
          <w:szCs w:val="22"/>
        </w:rPr>
        <w:t>Staff should have recourse to request a review</w:t>
      </w:r>
      <w:r w:rsidR="00714451" w:rsidRPr="008D1D9F">
        <w:rPr>
          <w:rFonts w:ascii="Calibri" w:hAnsi="Calibri"/>
          <w:sz w:val="22"/>
          <w:szCs w:val="22"/>
        </w:rPr>
        <w:t>, by the dean,</w:t>
      </w:r>
      <w:r w:rsidRPr="008D1D9F">
        <w:rPr>
          <w:rFonts w:ascii="Calibri" w:hAnsi="Calibri"/>
          <w:sz w:val="22"/>
          <w:szCs w:val="22"/>
        </w:rPr>
        <w:t xml:space="preserve"> of a </w:t>
      </w:r>
      <w:r w:rsidR="00714451" w:rsidRPr="008D1D9F">
        <w:rPr>
          <w:rFonts w:ascii="Calibri" w:hAnsi="Calibri"/>
          <w:sz w:val="22"/>
          <w:szCs w:val="22"/>
        </w:rPr>
        <w:t xml:space="preserve">head’s </w:t>
      </w:r>
      <w:r w:rsidRPr="008D1D9F">
        <w:rPr>
          <w:rFonts w:ascii="Calibri" w:hAnsi="Calibri"/>
          <w:sz w:val="22"/>
          <w:szCs w:val="22"/>
        </w:rPr>
        <w:t>recommendation on performance</w:t>
      </w:r>
      <w:r w:rsidR="00714451" w:rsidRPr="008D1D9F">
        <w:rPr>
          <w:rFonts w:ascii="Calibri" w:hAnsi="Calibri"/>
          <w:sz w:val="22"/>
          <w:szCs w:val="22"/>
        </w:rPr>
        <w:t xml:space="preserve">. Staff members who are unhappy with the outcome of the review may lodge an appeal </w:t>
      </w:r>
      <w:r w:rsidR="00137A08">
        <w:rPr>
          <w:rFonts w:ascii="Calibri" w:hAnsi="Calibri"/>
          <w:sz w:val="22"/>
          <w:szCs w:val="22"/>
        </w:rPr>
        <w:t>in accordance with the approved appeal or review procedures.</w:t>
      </w:r>
    </w:p>
    <w:p w:rsidR="00437C05" w:rsidRPr="00714451" w:rsidRDefault="005E17D2" w:rsidP="00C71EBF">
      <w:pPr>
        <w:tabs>
          <w:tab w:val="left" w:pos="1080"/>
        </w:tabs>
        <w:spacing w:before="120" w:after="120" w:line="320" w:lineRule="atLeast"/>
        <w:jc w:val="both"/>
        <w:rPr>
          <w:rFonts w:ascii="Calibri" w:hAnsi="Calibri"/>
          <w:b/>
          <w:i/>
          <w:sz w:val="22"/>
          <w:szCs w:val="22"/>
        </w:rPr>
      </w:pPr>
      <w:r>
        <w:rPr>
          <w:rFonts w:ascii="Calibri" w:hAnsi="Calibri"/>
          <w:b/>
          <w:i/>
          <w:sz w:val="22"/>
          <w:szCs w:val="22"/>
        </w:rPr>
        <w:t xml:space="preserve">5.2 </w:t>
      </w:r>
      <w:r w:rsidR="00437C05" w:rsidRPr="00714451">
        <w:rPr>
          <w:rFonts w:ascii="Calibri" w:hAnsi="Calibri"/>
          <w:b/>
          <w:i/>
          <w:sz w:val="22"/>
          <w:szCs w:val="22"/>
        </w:rPr>
        <w:t>Recommendations on communication</w:t>
      </w:r>
      <w:r w:rsidR="00437C05" w:rsidRPr="00714451">
        <w:rPr>
          <w:rFonts w:ascii="Calibri" w:hAnsi="Calibri"/>
          <w:b/>
          <w:i/>
          <w:sz w:val="22"/>
          <w:szCs w:val="22"/>
        </w:rPr>
        <w:tab/>
      </w:r>
      <w:r w:rsidR="00437C05" w:rsidRPr="00714451">
        <w:rPr>
          <w:rFonts w:ascii="Calibri" w:hAnsi="Calibri"/>
          <w:b/>
          <w:i/>
          <w:sz w:val="22"/>
          <w:szCs w:val="22"/>
        </w:rPr>
        <w:tab/>
      </w:r>
      <w:r w:rsidR="00437C05" w:rsidRPr="00714451">
        <w:rPr>
          <w:rFonts w:ascii="Calibri" w:hAnsi="Calibri"/>
          <w:b/>
          <w:i/>
          <w:sz w:val="22"/>
          <w:szCs w:val="22"/>
        </w:rPr>
        <w:tab/>
      </w:r>
      <w:r w:rsidR="00437C05" w:rsidRPr="00714451">
        <w:rPr>
          <w:rFonts w:ascii="Calibri" w:hAnsi="Calibri"/>
          <w:b/>
          <w:i/>
          <w:sz w:val="22"/>
          <w:szCs w:val="22"/>
        </w:rPr>
        <w:tab/>
      </w:r>
      <w:r w:rsidR="00437C05" w:rsidRPr="00714451">
        <w:rPr>
          <w:rFonts w:ascii="Calibri" w:hAnsi="Calibri"/>
          <w:b/>
          <w:i/>
          <w:sz w:val="22"/>
          <w:szCs w:val="22"/>
        </w:rPr>
        <w:tab/>
      </w:r>
      <w:r w:rsidR="00437C05" w:rsidRPr="00714451">
        <w:rPr>
          <w:rFonts w:ascii="Calibri" w:hAnsi="Calibri"/>
          <w:b/>
          <w:i/>
          <w:sz w:val="22"/>
          <w:szCs w:val="22"/>
        </w:rPr>
        <w:tab/>
      </w:r>
      <w:r w:rsidR="00437C05" w:rsidRPr="00714451">
        <w:rPr>
          <w:rFonts w:ascii="Calibri" w:hAnsi="Calibri"/>
          <w:b/>
          <w:i/>
          <w:sz w:val="22"/>
          <w:szCs w:val="22"/>
        </w:rPr>
        <w:tab/>
      </w:r>
    </w:p>
    <w:p w:rsidR="00437C05" w:rsidRPr="00DE3538" w:rsidRDefault="00437C05" w:rsidP="00C71EBF">
      <w:pPr>
        <w:numPr>
          <w:ilvl w:val="0"/>
          <w:numId w:val="7"/>
        </w:numPr>
        <w:tabs>
          <w:tab w:val="left" w:pos="1200"/>
        </w:tabs>
        <w:spacing w:before="120" w:after="120" w:line="320" w:lineRule="atLeast"/>
        <w:jc w:val="both"/>
        <w:rPr>
          <w:rFonts w:ascii="Calibri" w:hAnsi="Calibri"/>
          <w:sz w:val="22"/>
          <w:szCs w:val="22"/>
        </w:rPr>
      </w:pPr>
      <w:r w:rsidRPr="00714451">
        <w:rPr>
          <w:rFonts w:ascii="Calibri" w:hAnsi="Calibri"/>
          <w:sz w:val="22"/>
          <w:szCs w:val="22"/>
        </w:rPr>
        <w:t>I</w:t>
      </w:r>
      <w:r w:rsidRPr="00DE3538">
        <w:rPr>
          <w:rFonts w:ascii="Calibri" w:hAnsi="Calibri"/>
          <w:sz w:val="22"/>
          <w:szCs w:val="22"/>
        </w:rPr>
        <w:t xml:space="preserve">t is proposed that </w:t>
      </w:r>
      <w:r w:rsidR="0041048A">
        <w:rPr>
          <w:rFonts w:ascii="Calibri" w:hAnsi="Calibri"/>
          <w:sz w:val="22"/>
          <w:szCs w:val="22"/>
        </w:rPr>
        <w:t>h</w:t>
      </w:r>
      <w:r w:rsidRPr="00DE3538">
        <w:rPr>
          <w:rFonts w:ascii="Calibri" w:hAnsi="Calibri"/>
          <w:sz w:val="22"/>
          <w:szCs w:val="22"/>
        </w:rPr>
        <w:t xml:space="preserve">eads of </w:t>
      </w:r>
      <w:r w:rsidR="0041048A">
        <w:rPr>
          <w:rFonts w:ascii="Calibri" w:hAnsi="Calibri"/>
          <w:sz w:val="22"/>
          <w:szCs w:val="22"/>
        </w:rPr>
        <w:t>d</w:t>
      </w:r>
      <w:r w:rsidRPr="00DE3538">
        <w:rPr>
          <w:rFonts w:ascii="Calibri" w:hAnsi="Calibri"/>
          <w:sz w:val="22"/>
          <w:szCs w:val="22"/>
        </w:rPr>
        <w:t xml:space="preserve">epartment hold an academic staff meeting early in the year (and early in the tenure of the headship), and at this meeting clearly articulate expectations with regard to performance, in a manner consistent with the approved set of criteria. </w:t>
      </w:r>
    </w:p>
    <w:p w:rsidR="00437C05" w:rsidRPr="00DE3538" w:rsidRDefault="00437C05" w:rsidP="00C71EBF">
      <w:pPr>
        <w:numPr>
          <w:ilvl w:val="0"/>
          <w:numId w:val="7"/>
        </w:numPr>
        <w:tabs>
          <w:tab w:val="left" w:pos="1080"/>
        </w:tabs>
        <w:spacing w:before="120" w:after="120" w:line="320" w:lineRule="atLeast"/>
        <w:jc w:val="both"/>
        <w:rPr>
          <w:rFonts w:ascii="Calibri" w:hAnsi="Calibri"/>
          <w:sz w:val="22"/>
          <w:szCs w:val="22"/>
        </w:rPr>
      </w:pPr>
      <w:r w:rsidRPr="00DE3538">
        <w:rPr>
          <w:rFonts w:ascii="Calibri" w:hAnsi="Calibri"/>
          <w:sz w:val="22"/>
          <w:szCs w:val="22"/>
        </w:rPr>
        <w:t xml:space="preserve">There need to be clear (but perhaps broad) guidelines with respect, particularly, to teaching loads and expectations in a department – these will vary from department to department, and should be transparent and agreed to in a staff meeting.  In order to assist the </w:t>
      </w:r>
      <w:r w:rsidR="0041048A">
        <w:rPr>
          <w:rFonts w:ascii="Calibri" w:hAnsi="Calibri"/>
          <w:sz w:val="22"/>
          <w:szCs w:val="22"/>
        </w:rPr>
        <w:t>h</w:t>
      </w:r>
      <w:r w:rsidRPr="00DE3538">
        <w:rPr>
          <w:rFonts w:ascii="Calibri" w:hAnsi="Calibri"/>
          <w:sz w:val="22"/>
          <w:szCs w:val="22"/>
        </w:rPr>
        <w:t>ead in managing this process</w:t>
      </w:r>
      <w:r w:rsidR="0041048A">
        <w:rPr>
          <w:rFonts w:ascii="Calibri" w:hAnsi="Calibri"/>
          <w:sz w:val="22"/>
          <w:szCs w:val="22"/>
        </w:rPr>
        <w:t>,</w:t>
      </w:r>
      <w:r w:rsidRPr="00DE3538">
        <w:rPr>
          <w:rFonts w:ascii="Calibri" w:hAnsi="Calibri"/>
          <w:sz w:val="22"/>
          <w:szCs w:val="22"/>
        </w:rPr>
        <w:t xml:space="preserve"> generic or average teaching loads need to be understood at the university or faculty level.</w:t>
      </w:r>
    </w:p>
    <w:p w:rsidR="00437C05" w:rsidRPr="00DE3538" w:rsidRDefault="00437C05" w:rsidP="00C71EBF">
      <w:pPr>
        <w:numPr>
          <w:ilvl w:val="0"/>
          <w:numId w:val="7"/>
        </w:numPr>
        <w:tabs>
          <w:tab w:val="left" w:pos="1080"/>
        </w:tabs>
        <w:spacing w:before="120" w:after="120" w:line="320" w:lineRule="atLeast"/>
        <w:jc w:val="both"/>
        <w:rPr>
          <w:rFonts w:ascii="Calibri" w:hAnsi="Calibri"/>
          <w:sz w:val="22"/>
          <w:szCs w:val="22"/>
        </w:rPr>
      </w:pPr>
      <w:r w:rsidRPr="00DE3538">
        <w:rPr>
          <w:rFonts w:ascii="Calibri" w:hAnsi="Calibri"/>
          <w:sz w:val="22"/>
          <w:szCs w:val="22"/>
        </w:rPr>
        <w:t xml:space="preserve">Heads should be required to meet with each academic staff member </w:t>
      </w:r>
      <w:r w:rsidR="00137A08">
        <w:rPr>
          <w:rFonts w:ascii="Calibri" w:hAnsi="Calibri"/>
          <w:sz w:val="22"/>
          <w:szCs w:val="22"/>
        </w:rPr>
        <w:t xml:space="preserve">at least once every two years </w:t>
      </w:r>
      <w:r w:rsidRPr="00DE3538">
        <w:rPr>
          <w:rFonts w:ascii="Calibri" w:hAnsi="Calibri"/>
          <w:sz w:val="22"/>
          <w:szCs w:val="22"/>
        </w:rPr>
        <w:t xml:space="preserve">to discuss performance, so that there are no surprises at the </w:t>
      </w:r>
      <w:r w:rsidR="00137A08">
        <w:rPr>
          <w:rFonts w:ascii="Calibri" w:hAnsi="Calibri"/>
          <w:sz w:val="22"/>
          <w:szCs w:val="22"/>
        </w:rPr>
        <w:t>four</w:t>
      </w:r>
      <w:r w:rsidRPr="00DE3538">
        <w:rPr>
          <w:rFonts w:ascii="Calibri" w:hAnsi="Calibri"/>
          <w:sz w:val="22"/>
          <w:szCs w:val="22"/>
        </w:rPr>
        <w:t xml:space="preserve">-yearly exercise. </w:t>
      </w:r>
    </w:p>
    <w:p w:rsidR="00437C05" w:rsidRPr="00DE3538" w:rsidRDefault="00437C05" w:rsidP="00C71EBF">
      <w:pPr>
        <w:numPr>
          <w:ilvl w:val="0"/>
          <w:numId w:val="7"/>
        </w:numPr>
        <w:tabs>
          <w:tab w:val="left" w:pos="1080"/>
        </w:tabs>
        <w:spacing w:before="120" w:after="120" w:line="320" w:lineRule="atLeast"/>
        <w:jc w:val="both"/>
        <w:rPr>
          <w:rFonts w:ascii="Calibri" w:hAnsi="Calibri"/>
          <w:sz w:val="22"/>
          <w:szCs w:val="22"/>
        </w:rPr>
      </w:pPr>
      <w:r w:rsidRPr="00DE3538">
        <w:rPr>
          <w:rFonts w:ascii="Calibri" w:hAnsi="Calibri"/>
          <w:sz w:val="22"/>
          <w:szCs w:val="22"/>
        </w:rPr>
        <w:t xml:space="preserve">During the period between successive formal evaluations, academic staff must be provided with annual guidance by </w:t>
      </w:r>
      <w:r w:rsidR="0041048A">
        <w:rPr>
          <w:rFonts w:ascii="Calibri" w:hAnsi="Calibri"/>
          <w:sz w:val="22"/>
          <w:szCs w:val="22"/>
        </w:rPr>
        <w:t>h</w:t>
      </w:r>
      <w:r w:rsidRPr="00DE3538">
        <w:rPr>
          <w:rFonts w:ascii="Calibri" w:hAnsi="Calibri"/>
          <w:sz w:val="22"/>
          <w:szCs w:val="22"/>
        </w:rPr>
        <w:t>eads to address any perceived shortcomings.</w:t>
      </w:r>
    </w:p>
    <w:p w:rsidR="00437C05" w:rsidRPr="003C05F3" w:rsidRDefault="00437C05" w:rsidP="00C71EBF">
      <w:pPr>
        <w:numPr>
          <w:ilvl w:val="0"/>
          <w:numId w:val="7"/>
        </w:numPr>
        <w:tabs>
          <w:tab w:val="left" w:pos="1080"/>
        </w:tabs>
        <w:spacing w:before="120" w:after="120" w:line="320" w:lineRule="atLeast"/>
        <w:jc w:val="both"/>
        <w:rPr>
          <w:rFonts w:ascii="Calibri" w:hAnsi="Calibri"/>
          <w:strike/>
          <w:sz w:val="22"/>
          <w:szCs w:val="22"/>
        </w:rPr>
      </w:pPr>
      <w:r w:rsidRPr="00DE3538">
        <w:rPr>
          <w:rFonts w:ascii="Calibri" w:hAnsi="Calibri"/>
          <w:sz w:val="22"/>
          <w:szCs w:val="22"/>
        </w:rPr>
        <w:t xml:space="preserve">Academic staff assessed as underperforming need clear guidelines (in writing) to recover performance over the ensuing cycle, and should have regular meetings with the </w:t>
      </w:r>
      <w:r w:rsidR="0041048A">
        <w:rPr>
          <w:rFonts w:ascii="Calibri" w:hAnsi="Calibri"/>
          <w:sz w:val="22"/>
          <w:szCs w:val="22"/>
        </w:rPr>
        <w:t>h</w:t>
      </w:r>
      <w:r w:rsidRPr="00DE3538">
        <w:rPr>
          <w:rFonts w:ascii="Calibri" w:hAnsi="Calibri"/>
          <w:sz w:val="22"/>
          <w:szCs w:val="22"/>
        </w:rPr>
        <w:t xml:space="preserve">ead of </w:t>
      </w:r>
      <w:r w:rsidR="0041048A">
        <w:rPr>
          <w:rFonts w:ascii="Calibri" w:hAnsi="Calibri"/>
          <w:sz w:val="22"/>
          <w:szCs w:val="22"/>
        </w:rPr>
        <w:t>d</w:t>
      </w:r>
      <w:r w:rsidRPr="00DE3538">
        <w:rPr>
          <w:rFonts w:ascii="Calibri" w:hAnsi="Calibri"/>
          <w:sz w:val="22"/>
          <w:szCs w:val="22"/>
        </w:rPr>
        <w:t>epartment in this regard</w:t>
      </w:r>
      <w:r w:rsidR="003C05F3">
        <w:rPr>
          <w:rFonts w:ascii="Calibri" w:hAnsi="Calibri"/>
          <w:sz w:val="22"/>
          <w:szCs w:val="22"/>
        </w:rPr>
        <w:t>,</w:t>
      </w:r>
      <w:r w:rsidRPr="00DE3538">
        <w:rPr>
          <w:rFonts w:ascii="Calibri" w:hAnsi="Calibri"/>
          <w:sz w:val="22"/>
          <w:szCs w:val="22"/>
        </w:rPr>
        <w:t xml:space="preserve"> </w:t>
      </w:r>
      <w:r w:rsidR="003C05F3">
        <w:rPr>
          <w:rFonts w:ascii="Calibri" w:hAnsi="Calibri"/>
          <w:strike/>
          <w:sz w:val="22"/>
          <w:szCs w:val="22"/>
        </w:rPr>
        <w:t xml:space="preserve">  </w:t>
      </w:r>
      <w:r w:rsidR="003C05F3">
        <w:rPr>
          <w:rFonts w:ascii="Calibri" w:hAnsi="Calibri"/>
          <w:sz w:val="22"/>
          <w:szCs w:val="22"/>
        </w:rPr>
        <w:t xml:space="preserve">in line with the current </w:t>
      </w:r>
      <w:r w:rsidR="00137A08">
        <w:rPr>
          <w:rFonts w:ascii="Calibri" w:hAnsi="Calibri"/>
          <w:sz w:val="22"/>
          <w:szCs w:val="22"/>
        </w:rPr>
        <w:t xml:space="preserve">set of procedures applicable to </w:t>
      </w:r>
      <w:r w:rsidR="003C05F3">
        <w:rPr>
          <w:rFonts w:ascii="Calibri" w:hAnsi="Calibri"/>
          <w:sz w:val="22"/>
          <w:szCs w:val="22"/>
        </w:rPr>
        <w:t>underperforming staff.</w:t>
      </w:r>
    </w:p>
    <w:p w:rsidR="00437C05" w:rsidRPr="00C77E3B" w:rsidRDefault="00437C05" w:rsidP="00C71EBF">
      <w:pPr>
        <w:numPr>
          <w:ilvl w:val="0"/>
          <w:numId w:val="7"/>
        </w:numPr>
        <w:tabs>
          <w:tab w:val="left" w:pos="1080"/>
        </w:tabs>
        <w:spacing w:before="120" w:after="120" w:line="320" w:lineRule="atLeast"/>
        <w:jc w:val="both"/>
        <w:rPr>
          <w:rFonts w:asciiTheme="minorHAnsi" w:hAnsiTheme="minorHAnsi"/>
          <w:sz w:val="22"/>
          <w:szCs w:val="22"/>
        </w:rPr>
      </w:pPr>
      <w:r w:rsidRPr="00DE3538">
        <w:rPr>
          <w:rFonts w:ascii="Calibri" w:hAnsi="Calibri"/>
          <w:sz w:val="22"/>
          <w:szCs w:val="22"/>
        </w:rPr>
        <w:t>Given that that the criteria are in respect of</w:t>
      </w:r>
      <w:r w:rsidR="00DE147C">
        <w:rPr>
          <w:rFonts w:ascii="Calibri" w:hAnsi="Calibri"/>
          <w:sz w:val="22"/>
          <w:szCs w:val="22"/>
        </w:rPr>
        <w:t xml:space="preserve"> expected</w:t>
      </w:r>
      <w:r w:rsidRPr="00D02C3F">
        <w:rPr>
          <w:rFonts w:ascii="Calibri" w:hAnsi="Calibri"/>
          <w:sz w:val="22"/>
          <w:szCs w:val="22"/>
        </w:rPr>
        <w:t xml:space="preserve"> performance, no formal letters should be sent to </w:t>
      </w:r>
      <w:proofErr w:type="gramStart"/>
      <w:r w:rsidRPr="00DE3538">
        <w:rPr>
          <w:rFonts w:ascii="Calibri" w:hAnsi="Calibri"/>
          <w:sz w:val="22"/>
          <w:szCs w:val="22"/>
        </w:rPr>
        <w:t>staff who meet</w:t>
      </w:r>
      <w:proofErr w:type="gramEnd"/>
      <w:r w:rsidRPr="00DE3538">
        <w:rPr>
          <w:rFonts w:ascii="Calibri" w:hAnsi="Calibri"/>
          <w:sz w:val="22"/>
          <w:szCs w:val="22"/>
        </w:rPr>
        <w:t xml:space="preserve"> these criteria. Staff </w:t>
      </w:r>
      <w:r w:rsidR="00AD1541">
        <w:rPr>
          <w:rFonts w:ascii="Calibri" w:hAnsi="Calibri"/>
          <w:sz w:val="22"/>
          <w:szCs w:val="22"/>
        </w:rPr>
        <w:t>ass</w:t>
      </w:r>
      <w:r w:rsidR="00DE147C">
        <w:rPr>
          <w:rFonts w:ascii="Calibri" w:hAnsi="Calibri"/>
          <w:sz w:val="22"/>
          <w:szCs w:val="22"/>
        </w:rPr>
        <w:t xml:space="preserve">essed as not meeting the </w:t>
      </w:r>
      <w:r w:rsidR="00AD1541">
        <w:rPr>
          <w:rFonts w:ascii="Calibri" w:hAnsi="Calibri"/>
          <w:sz w:val="22"/>
          <w:szCs w:val="22"/>
        </w:rPr>
        <w:t>criteria</w:t>
      </w:r>
      <w:r w:rsidR="00DE147C">
        <w:rPr>
          <w:rFonts w:ascii="Calibri" w:hAnsi="Calibri"/>
          <w:sz w:val="22"/>
          <w:szCs w:val="22"/>
        </w:rPr>
        <w:t xml:space="preserve"> for expected performance</w:t>
      </w:r>
      <w:r w:rsidRPr="00DE3538">
        <w:rPr>
          <w:rFonts w:ascii="Calibri" w:hAnsi="Calibri"/>
          <w:sz w:val="22"/>
          <w:szCs w:val="22"/>
        </w:rPr>
        <w:t xml:space="preserve"> should receive an </w:t>
      </w:r>
      <w:proofErr w:type="gramStart"/>
      <w:r w:rsidRPr="00DE3538">
        <w:rPr>
          <w:rFonts w:ascii="Calibri" w:hAnsi="Calibri"/>
          <w:sz w:val="22"/>
          <w:szCs w:val="22"/>
        </w:rPr>
        <w:t>appropriate</w:t>
      </w:r>
      <w:r w:rsidR="00137A08">
        <w:rPr>
          <w:rFonts w:ascii="Calibri" w:hAnsi="Calibri"/>
          <w:sz w:val="22"/>
          <w:szCs w:val="22"/>
        </w:rPr>
        <w:t>,</w:t>
      </w:r>
      <w:proofErr w:type="gramEnd"/>
      <w:r w:rsidR="00137A08">
        <w:rPr>
          <w:rFonts w:ascii="Calibri" w:hAnsi="Calibri"/>
          <w:sz w:val="22"/>
          <w:szCs w:val="22"/>
        </w:rPr>
        <w:t xml:space="preserve"> </w:t>
      </w:r>
      <w:r w:rsidR="0041048A">
        <w:rPr>
          <w:rFonts w:ascii="Calibri" w:hAnsi="Calibri"/>
          <w:sz w:val="22"/>
          <w:szCs w:val="22"/>
        </w:rPr>
        <w:t xml:space="preserve">and </w:t>
      </w:r>
      <w:r w:rsidRPr="00C77E3B">
        <w:rPr>
          <w:rFonts w:asciiTheme="minorHAnsi" w:hAnsiTheme="minorHAnsi"/>
          <w:sz w:val="22"/>
          <w:szCs w:val="22"/>
        </w:rPr>
        <w:t xml:space="preserve">carefully </w:t>
      </w:r>
      <w:r w:rsidR="00137A08" w:rsidRPr="00C77E3B">
        <w:rPr>
          <w:rFonts w:asciiTheme="minorHAnsi" w:hAnsiTheme="minorHAnsi"/>
          <w:sz w:val="22"/>
          <w:szCs w:val="22"/>
        </w:rPr>
        <w:t xml:space="preserve">and sensitively </w:t>
      </w:r>
      <w:r w:rsidRPr="00C77E3B">
        <w:rPr>
          <w:rFonts w:asciiTheme="minorHAnsi" w:hAnsiTheme="minorHAnsi"/>
          <w:sz w:val="22"/>
          <w:szCs w:val="22"/>
        </w:rPr>
        <w:t xml:space="preserve">worded letter. </w:t>
      </w:r>
    </w:p>
    <w:p w:rsidR="00AD1541" w:rsidRPr="00C77E3B" w:rsidRDefault="00AD1541" w:rsidP="00C71EBF">
      <w:pPr>
        <w:numPr>
          <w:ilvl w:val="0"/>
          <w:numId w:val="7"/>
        </w:numPr>
        <w:tabs>
          <w:tab w:val="left" w:pos="1080"/>
        </w:tabs>
        <w:spacing w:before="120" w:after="120" w:line="320" w:lineRule="atLeast"/>
        <w:jc w:val="both"/>
        <w:rPr>
          <w:rFonts w:asciiTheme="minorHAnsi" w:hAnsiTheme="minorHAnsi"/>
          <w:b/>
          <w:sz w:val="22"/>
          <w:szCs w:val="22"/>
          <w:lang w:val="en-US"/>
        </w:rPr>
      </w:pPr>
      <w:r w:rsidRPr="00C77E3B">
        <w:rPr>
          <w:rFonts w:asciiTheme="minorHAnsi" w:hAnsiTheme="minorHAnsi"/>
          <w:sz w:val="22"/>
          <w:szCs w:val="22"/>
        </w:rPr>
        <w:t xml:space="preserve">It is proposed that the Academic Heads Working Group develop a system of induction for </w:t>
      </w:r>
      <w:r w:rsidR="0041048A" w:rsidRPr="00C77E3B">
        <w:rPr>
          <w:rFonts w:asciiTheme="minorHAnsi" w:hAnsiTheme="minorHAnsi"/>
          <w:sz w:val="22"/>
          <w:szCs w:val="22"/>
        </w:rPr>
        <w:t>h</w:t>
      </w:r>
      <w:r w:rsidRPr="00C77E3B">
        <w:rPr>
          <w:rFonts w:asciiTheme="minorHAnsi" w:hAnsiTheme="minorHAnsi"/>
          <w:sz w:val="22"/>
          <w:szCs w:val="22"/>
        </w:rPr>
        <w:t xml:space="preserve">eads of </w:t>
      </w:r>
      <w:r w:rsidR="0041048A" w:rsidRPr="00C77E3B">
        <w:rPr>
          <w:rFonts w:asciiTheme="minorHAnsi" w:hAnsiTheme="minorHAnsi"/>
          <w:sz w:val="22"/>
          <w:szCs w:val="22"/>
        </w:rPr>
        <w:t>d</w:t>
      </w:r>
      <w:r w:rsidRPr="00C77E3B">
        <w:rPr>
          <w:rFonts w:asciiTheme="minorHAnsi" w:hAnsiTheme="minorHAnsi"/>
          <w:sz w:val="22"/>
          <w:szCs w:val="22"/>
        </w:rPr>
        <w:t>epartment, to ensure that heads are fully conversant with the set of responsibilities associated with performance management.</w:t>
      </w:r>
    </w:p>
    <w:p w:rsidR="00CB23DC" w:rsidRPr="00DE147C" w:rsidRDefault="00CB23DC" w:rsidP="00C71EBF">
      <w:pPr>
        <w:spacing w:before="120" w:after="120" w:line="320" w:lineRule="atLeast"/>
        <w:jc w:val="both"/>
        <w:rPr>
          <w:rFonts w:asciiTheme="minorHAnsi" w:hAnsiTheme="minorHAnsi" w:cs="Tahoma"/>
          <w:szCs w:val="22"/>
        </w:rPr>
      </w:pPr>
    </w:p>
    <w:p w:rsidR="00BB22D3" w:rsidRPr="00DE147C" w:rsidRDefault="00BB22D3" w:rsidP="00BB22D3">
      <w:pPr>
        <w:spacing w:before="120" w:after="120" w:line="320" w:lineRule="atLeast"/>
        <w:jc w:val="both"/>
        <w:rPr>
          <w:rFonts w:asciiTheme="minorHAnsi" w:hAnsiTheme="minorHAnsi" w:cs="Tahoma"/>
          <w:b/>
          <w:smallCaps/>
        </w:rPr>
      </w:pPr>
      <w:r w:rsidRPr="00DE147C">
        <w:rPr>
          <w:rFonts w:asciiTheme="minorHAnsi" w:hAnsiTheme="minorHAnsi" w:cs="Tahoma"/>
          <w:b/>
          <w:smallCaps/>
        </w:rPr>
        <w:t xml:space="preserve">6.   </w:t>
      </w:r>
      <w:r w:rsidR="00B22791">
        <w:rPr>
          <w:rFonts w:asciiTheme="minorHAnsi" w:hAnsiTheme="minorHAnsi" w:cs="Tahoma"/>
          <w:b/>
          <w:smallCaps/>
        </w:rPr>
        <w:t>Recommendations on r</w:t>
      </w:r>
      <w:r>
        <w:rPr>
          <w:rFonts w:asciiTheme="minorHAnsi" w:hAnsiTheme="minorHAnsi" w:cs="Tahoma"/>
          <w:b/>
          <w:smallCaps/>
        </w:rPr>
        <w:t>ewards for excellence</w:t>
      </w:r>
    </w:p>
    <w:p w:rsidR="00BB22D3" w:rsidRPr="00EF36BD" w:rsidRDefault="001C2217" w:rsidP="00BB22D3">
      <w:pPr>
        <w:spacing w:after="200" w:line="276" w:lineRule="auto"/>
        <w:ind w:left="360"/>
        <w:jc w:val="both"/>
        <w:rPr>
          <w:rFonts w:ascii="Calibri" w:hAnsi="Calibri"/>
          <w:sz w:val="22"/>
          <w:szCs w:val="22"/>
          <w:lang w:val="en-US"/>
        </w:rPr>
      </w:pPr>
      <w:r>
        <w:rPr>
          <w:rFonts w:ascii="Calibri" w:hAnsi="Calibri"/>
          <w:sz w:val="22"/>
          <w:szCs w:val="22"/>
          <w:lang w:val="en-US"/>
        </w:rPr>
        <w:t>The</w:t>
      </w:r>
      <w:r w:rsidR="00BB22D3">
        <w:rPr>
          <w:rFonts w:ascii="Calibri" w:hAnsi="Calibri"/>
          <w:sz w:val="22"/>
          <w:szCs w:val="22"/>
          <w:lang w:val="en-US"/>
        </w:rPr>
        <w:t xml:space="preserve"> </w:t>
      </w:r>
      <w:r w:rsidR="00BB22D3" w:rsidRPr="00EF36BD">
        <w:rPr>
          <w:rFonts w:ascii="Calibri" w:hAnsi="Calibri"/>
          <w:sz w:val="22"/>
          <w:szCs w:val="22"/>
          <w:lang w:val="en-US"/>
        </w:rPr>
        <w:t xml:space="preserve">expected </w:t>
      </w:r>
      <w:r>
        <w:rPr>
          <w:rFonts w:ascii="Calibri" w:hAnsi="Calibri"/>
          <w:sz w:val="22"/>
          <w:szCs w:val="22"/>
          <w:lang w:val="en-US"/>
        </w:rPr>
        <w:t xml:space="preserve">level of </w:t>
      </w:r>
      <w:r w:rsidR="00BB22D3" w:rsidRPr="00EF36BD">
        <w:rPr>
          <w:rFonts w:ascii="Calibri" w:hAnsi="Calibri"/>
          <w:sz w:val="22"/>
          <w:szCs w:val="22"/>
          <w:lang w:val="en-US"/>
        </w:rPr>
        <w:t xml:space="preserve">performance is set at a standard of good and solid performance which, at </w:t>
      </w:r>
      <w:proofErr w:type="spellStart"/>
      <w:r w:rsidR="00BB22D3" w:rsidRPr="00EF36BD">
        <w:rPr>
          <w:rFonts w:ascii="Calibri" w:hAnsi="Calibri"/>
          <w:sz w:val="22"/>
          <w:szCs w:val="22"/>
          <w:lang w:val="en-US"/>
        </w:rPr>
        <w:t>UCT</w:t>
      </w:r>
      <w:proofErr w:type="spellEnd"/>
      <w:r w:rsidR="00BB22D3" w:rsidRPr="00EF36BD">
        <w:rPr>
          <w:rFonts w:ascii="Calibri" w:hAnsi="Calibri"/>
          <w:sz w:val="22"/>
          <w:szCs w:val="22"/>
          <w:lang w:val="en-US"/>
        </w:rPr>
        <w:t>, is of a high standard.</w:t>
      </w:r>
      <w:r w:rsidR="00BB22D3">
        <w:rPr>
          <w:rFonts w:ascii="Calibri" w:hAnsi="Calibri"/>
          <w:sz w:val="22"/>
          <w:szCs w:val="22"/>
          <w:lang w:val="en-US"/>
        </w:rPr>
        <w:t xml:space="preserve">  T</w:t>
      </w:r>
      <w:r w:rsidR="00BB22D3" w:rsidRPr="00EF36BD">
        <w:rPr>
          <w:rFonts w:ascii="Calibri" w:hAnsi="Calibri"/>
          <w:sz w:val="22"/>
          <w:szCs w:val="22"/>
          <w:lang w:val="en-US"/>
        </w:rPr>
        <w:t xml:space="preserve">he level of expected performance is linked to and defined in terms of the </w:t>
      </w:r>
      <w:r w:rsidR="00BB22D3" w:rsidRPr="00163CA0">
        <w:rPr>
          <w:rFonts w:ascii="Calibri" w:hAnsi="Calibri"/>
          <w:sz w:val="22"/>
          <w:szCs w:val="22"/>
          <w:lang w:val="en-US"/>
        </w:rPr>
        <w:t>ad hominem</w:t>
      </w:r>
      <w:r w:rsidR="00BB22D3" w:rsidRPr="00EF36BD">
        <w:rPr>
          <w:rFonts w:ascii="Calibri" w:hAnsi="Calibri"/>
          <w:sz w:val="22"/>
          <w:szCs w:val="22"/>
          <w:lang w:val="en-US"/>
        </w:rPr>
        <w:t xml:space="preserve"> promotion criteria for each faculty.</w:t>
      </w:r>
    </w:p>
    <w:p w:rsidR="00BB22D3" w:rsidRDefault="00BB22D3" w:rsidP="00BB22D3">
      <w:pPr>
        <w:pStyle w:val="ListParagraph"/>
        <w:tabs>
          <w:tab w:val="left" w:pos="1200"/>
        </w:tabs>
        <w:spacing w:before="120" w:after="120" w:line="320" w:lineRule="atLeast"/>
        <w:ind w:left="360"/>
        <w:jc w:val="both"/>
        <w:rPr>
          <w:rFonts w:ascii="Calibri" w:hAnsi="Calibri"/>
          <w:sz w:val="22"/>
          <w:szCs w:val="22"/>
          <w:lang w:val="en-GB"/>
        </w:rPr>
      </w:pPr>
      <w:r>
        <w:rPr>
          <w:rFonts w:ascii="Calibri" w:hAnsi="Calibri"/>
          <w:sz w:val="22"/>
          <w:szCs w:val="22"/>
          <w:lang w:val="en-US"/>
        </w:rPr>
        <w:t>It is further acknowledged,</w:t>
      </w:r>
      <w:r w:rsidRPr="00EF36BD">
        <w:rPr>
          <w:rFonts w:ascii="Calibri" w:hAnsi="Calibri"/>
          <w:sz w:val="22"/>
          <w:szCs w:val="22"/>
          <w:lang w:val="en-US"/>
        </w:rPr>
        <w:t xml:space="preserve"> given the definition of expected performance, there is a need to recognize and reward performance which is significantly higher</w:t>
      </w:r>
      <w:r>
        <w:rPr>
          <w:rFonts w:ascii="Calibri" w:hAnsi="Calibri"/>
          <w:sz w:val="22"/>
          <w:szCs w:val="22"/>
          <w:lang w:val="en-US"/>
        </w:rPr>
        <w:t xml:space="preserve"> than expected performance</w:t>
      </w:r>
      <w:r w:rsidRPr="00EF36BD">
        <w:rPr>
          <w:rFonts w:ascii="Calibri" w:hAnsi="Calibri"/>
          <w:sz w:val="22"/>
          <w:szCs w:val="22"/>
          <w:lang w:val="en-US"/>
        </w:rPr>
        <w:t>.  Given this need</w:t>
      </w:r>
      <w:r>
        <w:rPr>
          <w:rFonts w:ascii="Calibri" w:hAnsi="Calibri"/>
          <w:sz w:val="22"/>
          <w:szCs w:val="22"/>
          <w:lang w:val="en-US"/>
        </w:rPr>
        <w:t xml:space="preserve">, </w:t>
      </w:r>
      <w:proofErr w:type="spellStart"/>
      <w:r>
        <w:rPr>
          <w:rFonts w:ascii="Calibri" w:hAnsi="Calibri"/>
          <w:sz w:val="22"/>
          <w:szCs w:val="22"/>
          <w:lang w:val="en-US"/>
        </w:rPr>
        <w:t>i</w:t>
      </w:r>
      <w:proofErr w:type="spellEnd"/>
      <w:r w:rsidRPr="00B32CAA">
        <w:rPr>
          <w:rFonts w:ascii="Calibri" w:hAnsi="Calibri"/>
          <w:sz w:val="22"/>
          <w:szCs w:val="22"/>
          <w:lang w:val="en-GB"/>
        </w:rPr>
        <w:t xml:space="preserve">t is proposed that a system of merit awards be introduced at </w:t>
      </w:r>
      <w:r>
        <w:rPr>
          <w:rFonts w:ascii="Calibri" w:hAnsi="Calibri"/>
          <w:sz w:val="22"/>
          <w:szCs w:val="22"/>
          <w:lang w:val="en-GB"/>
        </w:rPr>
        <w:t xml:space="preserve">the academic </w:t>
      </w:r>
      <w:r w:rsidRPr="00B32CAA">
        <w:rPr>
          <w:rFonts w:ascii="Calibri" w:hAnsi="Calibri"/>
          <w:sz w:val="22"/>
          <w:szCs w:val="22"/>
          <w:lang w:val="en-GB"/>
        </w:rPr>
        <w:t>ranks</w:t>
      </w:r>
      <w:r>
        <w:rPr>
          <w:rFonts w:ascii="Calibri" w:hAnsi="Calibri"/>
          <w:sz w:val="22"/>
          <w:szCs w:val="22"/>
          <w:lang w:val="en-GB"/>
        </w:rPr>
        <w:t xml:space="preserve"> of Lecturer, Senior Lecturer and Associate Professor</w:t>
      </w:r>
      <w:r w:rsidRPr="00B32CAA">
        <w:rPr>
          <w:rFonts w:ascii="Calibri" w:hAnsi="Calibri"/>
          <w:sz w:val="22"/>
          <w:szCs w:val="22"/>
          <w:lang w:val="en-GB"/>
        </w:rPr>
        <w:t xml:space="preserve">. The purpose of these awards will be to reward meritorious achievement in </w:t>
      </w:r>
      <w:r>
        <w:rPr>
          <w:rFonts w:ascii="Calibri" w:hAnsi="Calibri"/>
          <w:sz w:val="22"/>
          <w:szCs w:val="22"/>
          <w:lang w:val="en-GB"/>
        </w:rPr>
        <w:t>two</w:t>
      </w:r>
      <w:r w:rsidRPr="00B32CAA">
        <w:rPr>
          <w:rFonts w:ascii="Calibri" w:hAnsi="Calibri"/>
          <w:sz w:val="22"/>
          <w:szCs w:val="22"/>
          <w:lang w:val="en-GB"/>
        </w:rPr>
        <w:t xml:space="preserve"> or more of the categories in which staff are assessed. Decisions on merit awards should form part of the brief of faculty </w:t>
      </w:r>
      <w:r>
        <w:rPr>
          <w:rFonts w:ascii="Calibri" w:hAnsi="Calibri"/>
          <w:sz w:val="22"/>
          <w:szCs w:val="22"/>
          <w:lang w:val="en-GB"/>
        </w:rPr>
        <w:t xml:space="preserve">promotion and remuneration </w:t>
      </w:r>
      <w:r w:rsidRPr="00B32CAA">
        <w:rPr>
          <w:rFonts w:ascii="Calibri" w:hAnsi="Calibri"/>
          <w:sz w:val="22"/>
          <w:szCs w:val="22"/>
          <w:lang w:val="en-GB"/>
        </w:rPr>
        <w:t xml:space="preserve">committees, and will based on faculty ad hominem promotion criteria. At the rank of professor, it is proposed that the current two-tier system of excellence awards </w:t>
      </w:r>
      <w:r>
        <w:rPr>
          <w:rFonts w:ascii="Calibri" w:hAnsi="Calibri"/>
          <w:sz w:val="22"/>
          <w:szCs w:val="22"/>
          <w:lang w:val="en-GB"/>
        </w:rPr>
        <w:t>continue</w:t>
      </w:r>
      <w:r w:rsidRPr="00B32CAA">
        <w:rPr>
          <w:rFonts w:ascii="Calibri" w:hAnsi="Calibri"/>
          <w:sz w:val="22"/>
          <w:szCs w:val="22"/>
          <w:lang w:val="en-GB"/>
        </w:rPr>
        <w:t xml:space="preserve">. The lower </w:t>
      </w:r>
      <w:r w:rsidRPr="00B32CAA">
        <w:rPr>
          <w:rFonts w:ascii="Calibri" w:hAnsi="Calibri"/>
          <w:sz w:val="22"/>
          <w:szCs w:val="22"/>
          <w:lang w:val="en-GB"/>
        </w:rPr>
        <w:lastRenderedPageBreak/>
        <w:t xml:space="preserve">tier would reward </w:t>
      </w:r>
      <w:r>
        <w:rPr>
          <w:rFonts w:ascii="Calibri" w:hAnsi="Calibri"/>
          <w:sz w:val="22"/>
          <w:szCs w:val="22"/>
          <w:lang w:val="en-GB"/>
        </w:rPr>
        <w:t>excellent</w:t>
      </w:r>
      <w:r w:rsidRPr="00B32CAA">
        <w:rPr>
          <w:rFonts w:ascii="Calibri" w:hAnsi="Calibri"/>
          <w:sz w:val="22"/>
          <w:szCs w:val="22"/>
          <w:lang w:val="en-GB"/>
        </w:rPr>
        <w:t xml:space="preserve"> performance, while the upper tier would recognise truly outstanding performance. </w:t>
      </w:r>
      <w:r>
        <w:rPr>
          <w:rFonts w:ascii="Calibri" w:hAnsi="Calibri"/>
          <w:sz w:val="22"/>
          <w:szCs w:val="22"/>
          <w:lang w:val="en-GB"/>
        </w:rPr>
        <w:t xml:space="preserve"> </w:t>
      </w:r>
    </w:p>
    <w:p w:rsidR="00BB22D3" w:rsidRDefault="00BB22D3" w:rsidP="00BB22D3">
      <w:pPr>
        <w:spacing w:after="200" w:line="276" w:lineRule="auto"/>
        <w:ind w:left="360"/>
        <w:jc w:val="both"/>
        <w:rPr>
          <w:rFonts w:ascii="Calibri" w:hAnsi="Calibri"/>
          <w:sz w:val="22"/>
          <w:szCs w:val="22"/>
          <w:lang w:val="en-GB"/>
        </w:rPr>
      </w:pPr>
    </w:p>
    <w:p w:rsidR="00BB22D3" w:rsidRPr="00EF36BD" w:rsidRDefault="00BB22D3" w:rsidP="00BB22D3">
      <w:pPr>
        <w:spacing w:after="200" w:line="276" w:lineRule="auto"/>
        <w:ind w:left="360"/>
        <w:jc w:val="both"/>
        <w:rPr>
          <w:rFonts w:ascii="Calibri" w:hAnsi="Calibri"/>
          <w:b/>
          <w:i/>
          <w:sz w:val="22"/>
          <w:szCs w:val="22"/>
          <w:lang w:val="en-GB"/>
        </w:rPr>
      </w:pPr>
      <w:r>
        <w:rPr>
          <w:rFonts w:ascii="Calibri" w:hAnsi="Calibri"/>
          <w:b/>
          <w:i/>
          <w:sz w:val="22"/>
          <w:szCs w:val="22"/>
          <w:lang w:val="en-GB"/>
        </w:rPr>
        <w:t>Further d</w:t>
      </w:r>
      <w:r w:rsidRPr="00EF36BD">
        <w:rPr>
          <w:rFonts w:ascii="Calibri" w:hAnsi="Calibri"/>
          <w:b/>
          <w:i/>
          <w:sz w:val="22"/>
          <w:szCs w:val="22"/>
          <w:lang w:val="en-GB"/>
        </w:rPr>
        <w:t>etails of the merit awards</w:t>
      </w:r>
      <w:r>
        <w:rPr>
          <w:rFonts w:ascii="Calibri" w:hAnsi="Calibri"/>
          <w:b/>
          <w:i/>
          <w:sz w:val="22"/>
          <w:szCs w:val="22"/>
          <w:lang w:val="en-GB"/>
        </w:rPr>
        <w:t xml:space="preserve"> and excellence payments</w:t>
      </w:r>
    </w:p>
    <w:p w:rsidR="00BB22D3" w:rsidRDefault="00BB22D3" w:rsidP="00BB22D3">
      <w:pPr>
        <w:pStyle w:val="ListParagraph"/>
        <w:numPr>
          <w:ilvl w:val="0"/>
          <w:numId w:val="36"/>
        </w:numPr>
        <w:spacing w:before="120" w:after="120" w:line="320" w:lineRule="atLeast"/>
        <w:jc w:val="both"/>
        <w:rPr>
          <w:rFonts w:ascii="Calibri" w:hAnsi="Calibri" w:cs="Calibri"/>
          <w:sz w:val="22"/>
          <w:szCs w:val="22"/>
          <w:lang w:val="en-GB"/>
        </w:rPr>
      </w:pPr>
      <w:r>
        <w:rPr>
          <w:rFonts w:ascii="Calibri" w:hAnsi="Calibri" w:cs="Calibri"/>
          <w:sz w:val="22"/>
          <w:szCs w:val="22"/>
          <w:lang w:val="en-GB"/>
        </w:rPr>
        <w:t xml:space="preserve">A proposed guideline for </w:t>
      </w:r>
      <w:r w:rsidRPr="00B32CAA">
        <w:rPr>
          <w:rFonts w:ascii="Calibri" w:hAnsi="Calibri" w:cs="Calibri"/>
          <w:sz w:val="22"/>
          <w:szCs w:val="22"/>
          <w:lang w:val="en-GB"/>
        </w:rPr>
        <w:t xml:space="preserve">the quantum for merit awards </w:t>
      </w:r>
      <w:r>
        <w:rPr>
          <w:rFonts w:ascii="Calibri" w:hAnsi="Calibri" w:cs="Calibri"/>
          <w:sz w:val="22"/>
          <w:szCs w:val="22"/>
          <w:lang w:val="en-GB"/>
        </w:rPr>
        <w:t xml:space="preserve">is a rand value derived as a percentage of the standard </w:t>
      </w:r>
      <w:proofErr w:type="spellStart"/>
      <w:r w:rsidR="00951323">
        <w:rPr>
          <w:rFonts w:ascii="Calibri" w:hAnsi="Calibri" w:cs="Calibri"/>
          <w:sz w:val="22"/>
          <w:szCs w:val="22"/>
          <w:lang w:val="en-GB"/>
        </w:rPr>
        <w:t>CoE</w:t>
      </w:r>
      <w:proofErr w:type="spellEnd"/>
      <w:r w:rsidR="00951323">
        <w:rPr>
          <w:rFonts w:ascii="Calibri" w:hAnsi="Calibri" w:cs="Calibri"/>
          <w:sz w:val="22"/>
          <w:szCs w:val="22"/>
          <w:lang w:val="en-GB"/>
        </w:rPr>
        <w:t xml:space="preserve"> </w:t>
      </w:r>
      <w:r>
        <w:rPr>
          <w:rFonts w:ascii="Calibri" w:hAnsi="Calibri" w:cs="Calibri"/>
          <w:sz w:val="22"/>
          <w:szCs w:val="22"/>
          <w:lang w:val="en-GB"/>
        </w:rPr>
        <w:t>package (proposed amount</w:t>
      </w:r>
      <w:r w:rsidR="00951323">
        <w:rPr>
          <w:rFonts w:ascii="Calibri" w:hAnsi="Calibri" w:cs="Calibri"/>
          <w:sz w:val="22"/>
          <w:szCs w:val="22"/>
          <w:lang w:val="en-GB"/>
        </w:rPr>
        <w:t xml:space="preserve"> for 2011</w:t>
      </w:r>
      <w:r>
        <w:rPr>
          <w:rFonts w:ascii="Calibri" w:hAnsi="Calibri" w:cs="Calibri"/>
          <w:sz w:val="22"/>
          <w:szCs w:val="22"/>
          <w:lang w:val="en-GB"/>
        </w:rPr>
        <w:t xml:space="preserve"> being between </w:t>
      </w:r>
      <w:proofErr w:type="spellStart"/>
      <w:r>
        <w:rPr>
          <w:rFonts w:ascii="Calibri" w:hAnsi="Calibri" w:cs="Calibri"/>
          <w:sz w:val="22"/>
          <w:szCs w:val="22"/>
          <w:lang w:val="en-GB"/>
        </w:rPr>
        <w:t>R18k</w:t>
      </w:r>
      <w:proofErr w:type="spellEnd"/>
      <w:r>
        <w:rPr>
          <w:rFonts w:ascii="Calibri" w:hAnsi="Calibri" w:cs="Calibri"/>
          <w:sz w:val="22"/>
          <w:szCs w:val="22"/>
          <w:lang w:val="en-GB"/>
        </w:rPr>
        <w:t xml:space="preserve"> and </w:t>
      </w:r>
      <w:proofErr w:type="spellStart"/>
      <w:r>
        <w:rPr>
          <w:rFonts w:ascii="Calibri" w:hAnsi="Calibri" w:cs="Calibri"/>
          <w:sz w:val="22"/>
          <w:szCs w:val="22"/>
          <w:lang w:val="en-GB"/>
        </w:rPr>
        <w:t>R26k</w:t>
      </w:r>
      <w:proofErr w:type="spellEnd"/>
      <w:r>
        <w:rPr>
          <w:rFonts w:ascii="Calibri" w:hAnsi="Calibri" w:cs="Calibri"/>
          <w:sz w:val="22"/>
          <w:szCs w:val="22"/>
          <w:lang w:val="en-GB"/>
        </w:rPr>
        <w:t>)</w:t>
      </w:r>
      <w:r w:rsidR="00951323">
        <w:rPr>
          <w:rFonts w:ascii="Calibri" w:hAnsi="Calibri" w:cs="Calibri"/>
          <w:sz w:val="22"/>
          <w:szCs w:val="22"/>
          <w:lang w:val="en-GB"/>
        </w:rPr>
        <w:t xml:space="preserve">, </w:t>
      </w:r>
      <w:r w:rsidR="00B22791">
        <w:rPr>
          <w:rFonts w:ascii="Calibri" w:hAnsi="Calibri" w:cs="Calibri"/>
          <w:sz w:val="22"/>
          <w:szCs w:val="22"/>
          <w:lang w:val="en-GB"/>
        </w:rPr>
        <w:t>to</w:t>
      </w:r>
      <w:r w:rsidR="00951323">
        <w:rPr>
          <w:rFonts w:ascii="Calibri" w:hAnsi="Calibri" w:cs="Calibri"/>
          <w:sz w:val="22"/>
          <w:szCs w:val="22"/>
          <w:lang w:val="en-GB"/>
        </w:rPr>
        <w:t xml:space="preserve"> be determined annually</w:t>
      </w:r>
      <w:r>
        <w:rPr>
          <w:rFonts w:ascii="Calibri" w:hAnsi="Calibri" w:cs="Calibri"/>
          <w:sz w:val="22"/>
          <w:szCs w:val="22"/>
          <w:lang w:val="en-GB"/>
        </w:rPr>
        <w:t xml:space="preserve">. </w:t>
      </w:r>
      <w:r w:rsidRPr="00B32CAA">
        <w:rPr>
          <w:rFonts w:ascii="Calibri" w:hAnsi="Calibri" w:cs="Calibri"/>
          <w:sz w:val="22"/>
          <w:szCs w:val="22"/>
          <w:lang w:val="en-GB"/>
        </w:rPr>
        <w:t>The award will be made for a period of</w:t>
      </w:r>
      <w:r>
        <w:rPr>
          <w:rFonts w:ascii="Calibri" w:hAnsi="Calibri" w:cs="Calibri"/>
          <w:sz w:val="22"/>
          <w:szCs w:val="22"/>
          <w:lang w:val="en-GB"/>
        </w:rPr>
        <w:t xml:space="preserve"> two years</w:t>
      </w:r>
      <w:r w:rsidRPr="00B32CAA">
        <w:rPr>
          <w:rFonts w:ascii="Calibri" w:hAnsi="Calibri" w:cs="Calibri"/>
          <w:sz w:val="22"/>
          <w:szCs w:val="22"/>
          <w:lang w:val="en-GB"/>
        </w:rPr>
        <w:t>, with effect</w:t>
      </w:r>
      <w:r>
        <w:rPr>
          <w:rFonts w:ascii="Calibri" w:hAnsi="Calibri" w:cs="Calibri"/>
          <w:sz w:val="22"/>
          <w:szCs w:val="22"/>
          <w:lang w:val="en-GB"/>
        </w:rPr>
        <w:t xml:space="preserve"> from</w:t>
      </w:r>
      <w:r w:rsidRPr="00B32CAA">
        <w:rPr>
          <w:rFonts w:ascii="Calibri" w:hAnsi="Calibri" w:cs="Calibri"/>
          <w:sz w:val="22"/>
          <w:szCs w:val="22"/>
          <w:lang w:val="en-GB"/>
        </w:rPr>
        <w:t xml:space="preserve"> the year following that in which the assessment is made</w:t>
      </w:r>
      <w:r>
        <w:rPr>
          <w:rFonts w:ascii="Calibri" w:hAnsi="Calibri" w:cs="Calibri"/>
          <w:sz w:val="22"/>
          <w:szCs w:val="22"/>
          <w:lang w:val="en-GB"/>
        </w:rPr>
        <w:t>.  Merit awards will be paid as a lump sum annually, and will be non-pensionable. The awards apply at the current rank of the staff member, and fall away on promotion to a higher rank.</w:t>
      </w:r>
    </w:p>
    <w:p w:rsidR="00BB22D3" w:rsidRPr="00DD37C9" w:rsidRDefault="00BB22D3" w:rsidP="00BB22D3">
      <w:pPr>
        <w:pStyle w:val="ListParagraph"/>
        <w:numPr>
          <w:ilvl w:val="0"/>
          <w:numId w:val="36"/>
        </w:numPr>
        <w:spacing w:before="120" w:after="120" w:line="320" w:lineRule="atLeast"/>
        <w:jc w:val="both"/>
        <w:rPr>
          <w:rFonts w:ascii="Calibri" w:hAnsi="Calibri"/>
          <w:sz w:val="22"/>
          <w:lang w:val="en-GB"/>
        </w:rPr>
      </w:pPr>
      <w:r w:rsidRPr="00DD37C9">
        <w:rPr>
          <w:rFonts w:ascii="Calibri" w:hAnsi="Calibri"/>
          <w:sz w:val="22"/>
          <w:lang w:val="en-GB"/>
        </w:rPr>
        <w:t xml:space="preserve">It is envisaged that a steady state of about 10% of academic staff receive the merit award.  In order to facilitate this, a fixed budget (part of the overall budget associated with academic salaries) will be allocated to faculties on a proportional basis and application for merit awards will be competitive.  </w:t>
      </w:r>
    </w:p>
    <w:p w:rsidR="00BB22D3" w:rsidRPr="008D05DF" w:rsidRDefault="00BB22D3" w:rsidP="00BB22D3">
      <w:pPr>
        <w:pStyle w:val="ListParagraph"/>
        <w:numPr>
          <w:ilvl w:val="0"/>
          <w:numId w:val="36"/>
        </w:numPr>
        <w:tabs>
          <w:tab w:val="left" w:pos="1200"/>
        </w:tabs>
        <w:spacing w:before="120" w:after="120" w:line="320" w:lineRule="atLeast"/>
        <w:jc w:val="both"/>
        <w:rPr>
          <w:rFonts w:ascii="Calibri" w:hAnsi="Calibri"/>
          <w:sz w:val="22"/>
          <w:szCs w:val="22"/>
          <w:lang w:val="en-GB"/>
        </w:rPr>
      </w:pPr>
      <w:r w:rsidRPr="00C41292">
        <w:rPr>
          <w:rFonts w:ascii="Calibri" w:hAnsi="Calibri"/>
          <w:sz w:val="22"/>
          <w:szCs w:val="22"/>
          <w:lang w:val="en-GB"/>
        </w:rPr>
        <w:t xml:space="preserve">The faculty has the discretion to award different numbers of merit awards at the different academic ranks (i.e. the percentage of academic staff </w:t>
      </w:r>
      <w:r w:rsidR="00B22791">
        <w:rPr>
          <w:rFonts w:ascii="Calibri" w:hAnsi="Calibri"/>
          <w:sz w:val="22"/>
          <w:szCs w:val="22"/>
          <w:lang w:val="en-GB"/>
        </w:rPr>
        <w:t>in receipt of</w:t>
      </w:r>
      <w:r w:rsidRPr="00C41292">
        <w:rPr>
          <w:rFonts w:ascii="Calibri" w:hAnsi="Calibri"/>
          <w:sz w:val="22"/>
          <w:szCs w:val="22"/>
          <w:lang w:val="en-GB"/>
        </w:rPr>
        <w:t xml:space="preserve"> merit awards in one rank may be higher or lower than that in another rank) but the allocated faculty budget </w:t>
      </w:r>
      <w:r w:rsidR="00B22791">
        <w:rPr>
          <w:rFonts w:ascii="Calibri" w:hAnsi="Calibri"/>
          <w:sz w:val="22"/>
          <w:szCs w:val="22"/>
          <w:lang w:val="en-GB"/>
        </w:rPr>
        <w:t xml:space="preserve">for merit awards </w:t>
      </w:r>
      <w:r w:rsidRPr="00C41292">
        <w:rPr>
          <w:rFonts w:ascii="Calibri" w:hAnsi="Calibri"/>
          <w:sz w:val="22"/>
          <w:szCs w:val="22"/>
          <w:lang w:val="en-GB"/>
        </w:rPr>
        <w:t>may not be exceeded.</w:t>
      </w:r>
    </w:p>
    <w:p w:rsidR="00BB22D3" w:rsidRPr="00826623" w:rsidRDefault="00BB22D3" w:rsidP="00BB22D3">
      <w:pPr>
        <w:pStyle w:val="ListParagraph"/>
        <w:numPr>
          <w:ilvl w:val="0"/>
          <w:numId w:val="36"/>
        </w:numPr>
        <w:tabs>
          <w:tab w:val="left" w:pos="1200"/>
        </w:tabs>
        <w:spacing w:before="120" w:after="120" w:line="320" w:lineRule="atLeast"/>
        <w:jc w:val="both"/>
        <w:rPr>
          <w:rFonts w:ascii="Calibri" w:hAnsi="Calibri"/>
          <w:sz w:val="22"/>
          <w:szCs w:val="22"/>
          <w:lang w:val="en-GB"/>
        </w:rPr>
      </w:pPr>
      <w:r>
        <w:rPr>
          <w:rFonts w:ascii="Calibri" w:hAnsi="Calibri"/>
          <w:sz w:val="22"/>
          <w:szCs w:val="22"/>
          <w:lang w:val="en-GB"/>
        </w:rPr>
        <w:t>In the introduction of excellence payments in 2004 it was envisaged that about 5% of Professorial staff would be eligible for and receive payments for excellence.  This number has fluctuated over the years but has not risen above 5%.  It is proposed that a steady state of 3-5% of excellence awards for Professors be the target.  Excellence awards are paid monthly and are pensionable, and would usually be applied for four years.</w:t>
      </w:r>
    </w:p>
    <w:p w:rsidR="00BB22D3" w:rsidRPr="00826623" w:rsidRDefault="00BB22D3" w:rsidP="00BB22D3">
      <w:pPr>
        <w:pStyle w:val="ListParagraph"/>
        <w:numPr>
          <w:ilvl w:val="0"/>
          <w:numId w:val="36"/>
        </w:numPr>
        <w:spacing w:after="200" w:line="276" w:lineRule="auto"/>
        <w:rPr>
          <w:rFonts w:ascii="Calibri" w:hAnsi="Calibri"/>
          <w:sz w:val="22"/>
          <w:szCs w:val="22"/>
          <w:lang w:val="en-US"/>
        </w:rPr>
      </w:pPr>
      <w:r>
        <w:rPr>
          <w:rFonts w:ascii="Calibri" w:hAnsi="Calibri"/>
          <w:sz w:val="22"/>
          <w:szCs w:val="22"/>
          <w:lang w:val="en-US"/>
        </w:rPr>
        <w:t>Faculties will</w:t>
      </w:r>
      <w:r w:rsidRPr="00826623">
        <w:rPr>
          <w:rFonts w:ascii="Calibri" w:hAnsi="Calibri"/>
          <w:sz w:val="22"/>
          <w:szCs w:val="22"/>
          <w:lang w:val="en-US"/>
        </w:rPr>
        <w:t xml:space="preserve"> develop faculty specific criteria for</w:t>
      </w:r>
      <w:r>
        <w:rPr>
          <w:rFonts w:ascii="Calibri" w:hAnsi="Calibri"/>
          <w:sz w:val="22"/>
          <w:szCs w:val="22"/>
          <w:lang w:val="en-US"/>
        </w:rPr>
        <w:t xml:space="preserve"> deciding on merit awards (applicable to ranks of Lecturer to Associate Professor) and payments for excellence (applicable to rank of Professor).  The criteria will be</w:t>
      </w:r>
      <w:r w:rsidRPr="00826623">
        <w:rPr>
          <w:rFonts w:ascii="Calibri" w:hAnsi="Calibri"/>
          <w:sz w:val="22"/>
          <w:szCs w:val="22"/>
          <w:lang w:val="en-US"/>
        </w:rPr>
        <w:t xml:space="preserve"> based on the</w:t>
      </w:r>
      <w:r>
        <w:rPr>
          <w:rFonts w:ascii="Calibri" w:hAnsi="Calibri"/>
          <w:sz w:val="22"/>
          <w:szCs w:val="22"/>
          <w:lang w:val="en-US"/>
        </w:rPr>
        <w:t xml:space="preserve"> faculty ad hominem promotion</w:t>
      </w:r>
      <w:r w:rsidRPr="00826623">
        <w:rPr>
          <w:rFonts w:ascii="Calibri" w:hAnsi="Calibri"/>
          <w:sz w:val="22"/>
          <w:szCs w:val="22"/>
          <w:lang w:val="en-US"/>
        </w:rPr>
        <w:t xml:space="preserve"> criteria and be guided by the following generic conditions:</w:t>
      </w:r>
    </w:p>
    <w:p w:rsidR="00BB22D3" w:rsidRDefault="00BB22D3" w:rsidP="00BB22D3">
      <w:pPr>
        <w:pStyle w:val="ListParagraph"/>
        <w:numPr>
          <w:ilvl w:val="1"/>
          <w:numId w:val="17"/>
        </w:numPr>
        <w:spacing w:after="200" w:line="276" w:lineRule="auto"/>
        <w:rPr>
          <w:rFonts w:ascii="Calibri" w:hAnsi="Calibri"/>
          <w:sz w:val="22"/>
          <w:szCs w:val="22"/>
          <w:lang w:val="en-US"/>
        </w:rPr>
      </w:pPr>
      <w:r w:rsidRPr="00826623">
        <w:rPr>
          <w:rFonts w:ascii="Calibri" w:hAnsi="Calibri"/>
          <w:sz w:val="22"/>
          <w:szCs w:val="22"/>
          <w:lang w:val="en-US"/>
        </w:rPr>
        <w:t xml:space="preserve"> Excellent performance must be demonstrated in at least two performance categories of which one must be either Teaching</w:t>
      </w:r>
      <w:r>
        <w:rPr>
          <w:rFonts w:ascii="Calibri" w:hAnsi="Calibri"/>
          <w:sz w:val="22"/>
          <w:szCs w:val="22"/>
          <w:lang w:val="en-US"/>
        </w:rPr>
        <w:t xml:space="preserve"> &amp; Learning </w:t>
      </w:r>
      <w:r w:rsidRPr="00826623">
        <w:rPr>
          <w:rFonts w:ascii="Calibri" w:hAnsi="Calibri"/>
          <w:sz w:val="22"/>
          <w:szCs w:val="22"/>
          <w:lang w:val="en-US"/>
        </w:rPr>
        <w:t>or Research.</w:t>
      </w:r>
    </w:p>
    <w:p w:rsidR="00BB22D3" w:rsidRPr="00826623" w:rsidRDefault="00BB22D3" w:rsidP="00BB22D3">
      <w:pPr>
        <w:pStyle w:val="ListParagraph"/>
        <w:numPr>
          <w:ilvl w:val="1"/>
          <w:numId w:val="17"/>
        </w:numPr>
        <w:spacing w:after="200" w:line="276" w:lineRule="auto"/>
        <w:rPr>
          <w:rFonts w:ascii="Calibri" w:hAnsi="Calibri"/>
          <w:sz w:val="22"/>
          <w:szCs w:val="22"/>
          <w:lang w:val="en-US"/>
        </w:rPr>
      </w:pPr>
      <w:r>
        <w:rPr>
          <w:rFonts w:ascii="Calibri" w:hAnsi="Calibri"/>
          <w:sz w:val="22"/>
          <w:szCs w:val="22"/>
          <w:lang w:val="en-US"/>
        </w:rPr>
        <w:t xml:space="preserve">As a guideline the total score must generally be within 2-3 points of the score required for </w:t>
      </w:r>
      <w:r w:rsidRPr="00163CA0">
        <w:rPr>
          <w:rFonts w:ascii="Calibri" w:hAnsi="Calibri"/>
          <w:sz w:val="22"/>
          <w:szCs w:val="22"/>
          <w:lang w:val="en-US"/>
        </w:rPr>
        <w:t>ad hominem</w:t>
      </w:r>
      <w:r>
        <w:rPr>
          <w:rFonts w:ascii="Calibri" w:hAnsi="Calibri"/>
          <w:sz w:val="22"/>
          <w:szCs w:val="22"/>
          <w:lang w:val="en-US"/>
        </w:rPr>
        <w:t xml:space="preserve"> promotion to the next rank.  However, faculties have different structures of scoring and thus the faculty specific criteria must stipulate the required scores or bands.</w:t>
      </w:r>
    </w:p>
    <w:p w:rsidR="00BB22D3" w:rsidRPr="003E5160" w:rsidRDefault="00BB22D3" w:rsidP="00BB22D3">
      <w:pPr>
        <w:spacing w:before="120" w:after="120" w:line="320" w:lineRule="atLeast"/>
        <w:ind w:left="357"/>
        <w:jc w:val="both"/>
        <w:rPr>
          <w:rFonts w:ascii="Calibri" w:hAnsi="Calibri"/>
          <w:b/>
          <w:i/>
          <w:sz w:val="22"/>
          <w:szCs w:val="22"/>
        </w:rPr>
      </w:pPr>
      <w:r>
        <w:rPr>
          <w:rFonts w:ascii="Calibri" w:hAnsi="Calibri"/>
          <w:b/>
          <w:i/>
          <w:sz w:val="22"/>
          <w:szCs w:val="22"/>
        </w:rPr>
        <w:t>Process of nomination and application</w:t>
      </w:r>
    </w:p>
    <w:p w:rsidR="00BB22D3" w:rsidRPr="00DE3538" w:rsidRDefault="00BB22D3" w:rsidP="00BB22D3">
      <w:pPr>
        <w:spacing w:before="120" w:after="120" w:line="320" w:lineRule="atLeast"/>
        <w:ind w:left="357"/>
        <w:jc w:val="both"/>
        <w:rPr>
          <w:rFonts w:ascii="Calibri" w:hAnsi="Calibri"/>
          <w:sz w:val="22"/>
          <w:szCs w:val="22"/>
        </w:rPr>
      </w:pPr>
      <w:r w:rsidRPr="00DE3538">
        <w:rPr>
          <w:rFonts w:ascii="Calibri" w:hAnsi="Calibri"/>
          <w:sz w:val="22"/>
          <w:szCs w:val="22"/>
        </w:rPr>
        <w:t xml:space="preserve">In order to assist </w:t>
      </w:r>
      <w:r>
        <w:rPr>
          <w:rFonts w:ascii="Calibri" w:hAnsi="Calibri"/>
          <w:sz w:val="22"/>
          <w:szCs w:val="22"/>
        </w:rPr>
        <w:t>h</w:t>
      </w:r>
      <w:r w:rsidRPr="00DE3538">
        <w:rPr>
          <w:rFonts w:ascii="Calibri" w:hAnsi="Calibri"/>
          <w:sz w:val="22"/>
          <w:szCs w:val="22"/>
        </w:rPr>
        <w:t xml:space="preserve">eads of </w:t>
      </w:r>
      <w:r>
        <w:rPr>
          <w:rFonts w:ascii="Calibri" w:hAnsi="Calibri"/>
          <w:sz w:val="22"/>
          <w:szCs w:val="22"/>
        </w:rPr>
        <w:t>d</w:t>
      </w:r>
      <w:r w:rsidRPr="00DE3538">
        <w:rPr>
          <w:rFonts w:ascii="Calibri" w:hAnsi="Calibri"/>
          <w:sz w:val="22"/>
          <w:szCs w:val="22"/>
        </w:rPr>
        <w:t xml:space="preserve">epartment </w:t>
      </w:r>
      <w:r>
        <w:rPr>
          <w:rFonts w:ascii="Calibri" w:hAnsi="Calibri"/>
          <w:sz w:val="22"/>
          <w:szCs w:val="22"/>
        </w:rPr>
        <w:t xml:space="preserve">in </w:t>
      </w:r>
      <w:r w:rsidRPr="00DE3538">
        <w:rPr>
          <w:rFonts w:ascii="Calibri" w:hAnsi="Calibri"/>
          <w:sz w:val="22"/>
          <w:szCs w:val="22"/>
        </w:rPr>
        <w:t xml:space="preserve">making decisions with potentially far-reaching consequences for remuneration, and to ensure fairness and transparency, </w:t>
      </w:r>
      <w:r>
        <w:rPr>
          <w:rFonts w:ascii="Calibri" w:hAnsi="Calibri"/>
          <w:sz w:val="22"/>
          <w:szCs w:val="22"/>
        </w:rPr>
        <w:t xml:space="preserve">three </w:t>
      </w:r>
      <w:r w:rsidRPr="00DE3538">
        <w:rPr>
          <w:rFonts w:ascii="Calibri" w:hAnsi="Calibri"/>
          <w:sz w:val="22"/>
          <w:szCs w:val="22"/>
        </w:rPr>
        <w:t xml:space="preserve">mechanisms for the consideration of merit awards are proposed: </w:t>
      </w:r>
    </w:p>
    <w:p w:rsidR="00BB22D3" w:rsidRDefault="00BB22D3" w:rsidP="00BB22D3">
      <w:pPr>
        <w:spacing w:before="120" w:after="120" w:line="320" w:lineRule="atLeast"/>
        <w:ind w:left="720"/>
        <w:jc w:val="both"/>
        <w:rPr>
          <w:rFonts w:ascii="Calibri" w:hAnsi="Calibri" w:cs="Calibri"/>
          <w:sz w:val="22"/>
          <w:szCs w:val="22"/>
        </w:rPr>
      </w:pPr>
      <w:r w:rsidRPr="003E5160">
        <w:rPr>
          <w:rFonts w:ascii="Calibri" w:hAnsi="Calibri" w:cs="Calibri"/>
          <w:bCs/>
          <w:i/>
          <w:sz w:val="22"/>
          <w:szCs w:val="22"/>
        </w:rPr>
        <w:t>Route 1:</w:t>
      </w:r>
      <w:r w:rsidRPr="00DE3538">
        <w:rPr>
          <w:rFonts w:ascii="Calibri" w:hAnsi="Calibri" w:cs="Calibri"/>
          <w:sz w:val="22"/>
          <w:szCs w:val="22"/>
        </w:rPr>
        <w:t xml:space="preserve"> the cycle of performance reviews could result in the </w:t>
      </w:r>
      <w:r>
        <w:rPr>
          <w:rFonts w:ascii="Calibri" w:hAnsi="Calibri" w:cs="Calibri"/>
          <w:sz w:val="22"/>
          <w:szCs w:val="22"/>
        </w:rPr>
        <w:t>h</w:t>
      </w:r>
      <w:r w:rsidRPr="00DE3538">
        <w:rPr>
          <w:rFonts w:ascii="Calibri" w:hAnsi="Calibri" w:cs="Calibri"/>
          <w:sz w:val="22"/>
          <w:szCs w:val="22"/>
        </w:rPr>
        <w:t xml:space="preserve">ead </w:t>
      </w:r>
      <w:r>
        <w:rPr>
          <w:rFonts w:ascii="Calibri" w:hAnsi="Calibri" w:cs="Calibri"/>
          <w:sz w:val="22"/>
          <w:szCs w:val="22"/>
        </w:rPr>
        <w:t xml:space="preserve">of department </w:t>
      </w:r>
      <w:r w:rsidRPr="00DE3538">
        <w:rPr>
          <w:rFonts w:ascii="Calibri" w:hAnsi="Calibri" w:cs="Calibri"/>
          <w:sz w:val="22"/>
          <w:szCs w:val="22"/>
        </w:rPr>
        <w:t xml:space="preserve">nominating a staff member for a merit award.  These nominations would be considered by the </w:t>
      </w:r>
      <w:r>
        <w:rPr>
          <w:rFonts w:ascii="Calibri" w:hAnsi="Calibri" w:cs="Calibri"/>
          <w:sz w:val="22"/>
          <w:szCs w:val="22"/>
        </w:rPr>
        <w:t>relevant Faculty P</w:t>
      </w:r>
      <w:r w:rsidRPr="00DE3538">
        <w:rPr>
          <w:rFonts w:ascii="Calibri" w:hAnsi="Calibri" w:cs="Calibri"/>
          <w:sz w:val="22"/>
          <w:szCs w:val="22"/>
        </w:rPr>
        <w:t xml:space="preserve">romotion </w:t>
      </w:r>
      <w:r>
        <w:rPr>
          <w:rFonts w:ascii="Calibri" w:hAnsi="Calibri" w:cs="Calibri"/>
          <w:sz w:val="22"/>
          <w:szCs w:val="22"/>
        </w:rPr>
        <w:t>and Remuneration C</w:t>
      </w:r>
      <w:r w:rsidRPr="00DE3538">
        <w:rPr>
          <w:rFonts w:ascii="Calibri" w:hAnsi="Calibri" w:cs="Calibri"/>
          <w:sz w:val="22"/>
          <w:szCs w:val="22"/>
        </w:rPr>
        <w:t xml:space="preserve">ommittee. </w:t>
      </w:r>
    </w:p>
    <w:p w:rsidR="00BB22D3" w:rsidRPr="003C05F3" w:rsidRDefault="00BB22D3" w:rsidP="00BB22D3">
      <w:pPr>
        <w:spacing w:before="120" w:after="120" w:line="320" w:lineRule="atLeast"/>
        <w:ind w:left="720"/>
        <w:jc w:val="both"/>
        <w:rPr>
          <w:rFonts w:ascii="Calibri" w:hAnsi="Calibri" w:cs="Calibri"/>
          <w:sz w:val="22"/>
          <w:szCs w:val="22"/>
          <w:lang w:val="en-GB"/>
        </w:rPr>
      </w:pPr>
      <w:r>
        <w:rPr>
          <w:rFonts w:ascii="Calibri" w:hAnsi="Calibri" w:cs="Calibri"/>
          <w:i/>
          <w:sz w:val="22"/>
          <w:szCs w:val="22"/>
        </w:rPr>
        <w:t xml:space="preserve">Route 2: </w:t>
      </w:r>
      <w:r>
        <w:rPr>
          <w:rFonts w:ascii="Calibri" w:hAnsi="Calibri" w:cs="Calibri"/>
          <w:sz w:val="22"/>
          <w:szCs w:val="22"/>
        </w:rPr>
        <w:t>the staff member makes application for a merit award with or without the support of the head of department.</w:t>
      </w:r>
      <w:r w:rsidRPr="002E65B0">
        <w:rPr>
          <w:rFonts w:ascii="Calibri" w:hAnsi="Calibri" w:cs="Calibri"/>
          <w:sz w:val="22"/>
          <w:szCs w:val="22"/>
        </w:rPr>
        <w:t xml:space="preserve"> </w:t>
      </w:r>
      <w:r>
        <w:rPr>
          <w:rFonts w:ascii="Calibri" w:hAnsi="Calibri" w:cs="Calibri"/>
          <w:sz w:val="22"/>
          <w:szCs w:val="22"/>
        </w:rPr>
        <w:t xml:space="preserve"> </w:t>
      </w:r>
      <w:r w:rsidRPr="00DE3538">
        <w:rPr>
          <w:rFonts w:ascii="Calibri" w:hAnsi="Calibri" w:cs="Calibri"/>
          <w:sz w:val="22"/>
          <w:szCs w:val="22"/>
        </w:rPr>
        <w:t xml:space="preserve">These nominations would be considered by the </w:t>
      </w:r>
      <w:r>
        <w:rPr>
          <w:rFonts w:ascii="Calibri" w:hAnsi="Calibri" w:cs="Calibri"/>
          <w:sz w:val="22"/>
          <w:szCs w:val="22"/>
        </w:rPr>
        <w:t>relevant Faculty P</w:t>
      </w:r>
      <w:r w:rsidRPr="00DE3538">
        <w:rPr>
          <w:rFonts w:ascii="Calibri" w:hAnsi="Calibri" w:cs="Calibri"/>
          <w:sz w:val="22"/>
          <w:szCs w:val="22"/>
        </w:rPr>
        <w:t xml:space="preserve">romotion </w:t>
      </w:r>
      <w:r>
        <w:rPr>
          <w:rFonts w:ascii="Calibri" w:hAnsi="Calibri" w:cs="Calibri"/>
          <w:sz w:val="22"/>
          <w:szCs w:val="22"/>
        </w:rPr>
        <w:t>and Remuneration C</w:t>
      </w:r>
      <w:r w:rsidRPr="00DE3538">
        <w:rPr>
          <w:rFonts w:ascii="Calibri" w:hAnsi="Calibri" w:cs="Calibri"/>
          <w:sz w:val="22"/>
          <w:szCs w:val="22"/>
        </w:rPr>
        <w:t>ommittee.</w:t>
      </w:r>
    </w:p>
    <w:p w:rsidR="00BB22D3" w:rsidRPr="00DE3538" w:rsidRDefault="00BB22D3" w:rsidP="00BB22D3">
      <w:pPr>
        <w:spacing w:before="120" w:after="120" w:line="320" w:lineRule="atLeast"/>
        <w:ind w:left="720"/>
        <w:jc w:val="both"/>
        <w:rPr>
          <w:rFonts w:ascii="Calibri" w:hAnsi="Calibri" w:cs="Calibri"/>
          <w:sz w:val="22"/>
          <w:szCs w:val="22"/>
          <w:lang w:val="en-GB"/>
        </w:rPr>
      </w:pPr>
      <w:r w:rsidRPr="003E5160">
        <w:rPr>
          <w:rFonts w:ascii="Calibri" w:hAnsi="Calibri" w:cs="Calibri"/>
          <w:bCs/>
          <w:i/>
          <w:sz w:val="22"/>
          <w:szCs w:val="22"/>
        </w:rPr>
        <w:lastRenderedPageBreak/>
        <w:t xml:space="preserve">Route </w:t>
      </w:r>
      <w:r>
        <w:rPr>
          <w:rFonts w:ascii="Calibri" w:hAnsi="Calibri" w:cs="Calibri"/>
          <w:bCs/>
          <w:i/>
          <w:sz w:val="22"/>
          <w:szCs w:val="22"/>
        </w:rPr>
        <w:t>3</w:t>
      </w:r>
      <w:r w:rsidRPr="003E5160">
        <w:rPr>
          <w:rFonts w:ascii="Calibri" w:hAnsi="Calibri" w:cs="Calibri"/>
          <w:bCs/>
          <w:i/>
          <w:sz w:val="22"/>
          <w:szCs w:val="22"/>
        </w:rPr>
        <w:t>:</w:t>
      </w:r>
      <w:r w:rsidRPr="00DE3538">
        <w:rPr>
          <w:rFonts w:ascii="Calibri" w:hAnsi="Calibri" w:cs="Calibri"/>
          <w:b/>
          <w:bCs/>
          <w:sz w:val="22"/>
          <w:szCs w:val="22"/>
        </w:rPr>
        <w:t xml:space="preserve"> </w:t>
      </w:r>
      <w:r w:rsidRPr="00DE3538">
        <w:rPr>
          <w:rFonts w:ascii="Calibri" w:hAnsi="Calibri" w:cs="Calibri"/>
          <w:sz w:val="22"/>
          <w:szCs w:val="22"/>
        </w:rPr>
        <w:t xml:space="preserve">The </w:t>
      </w:r>
      <w:r>
        <w:rPr>
          <w:rFonts w:ascii="Calibri" w:hAnsi="Calibri" w:cs="Calibri"/>
          <w:sz w:val="22"/>
          <w:szCs w:val="22"/>
        </w:rPr>
        <w:t>Faculty Promotion and Remuneration C</w:t>
      </w:r>
      <w:r w:rsidRPr="00DE3538">
        <w:rPr>
          <w:rFonts w:ascii="Calibri" w:hAnsi="Calibri" w:cs="Calibri"/>
          <w:sz w:val="22"/>
          <w:szCs w:val="22"/>
        </w:rPr>
        <w:t>ommittee could make recommendations for a merit award in cases where, for example, an individual is considered to have demonstrated excellent performance but still falls short of promotion. The rhetoric of a “failed promotion” should be actively countered with the notion of meritorious achievement.</w:t>
      </w:r>
    </w:p>
    <w:p w:rsidR="00BB22D3" w:rsidRDefault="00BB22D3" w:rsidP="00BB22D3">
      <w:pPr>
        <w:spacing w:before="120" w:after="120" w:line="320" w:lineRule="atLeast"/>
        <w:ind w:left="357"/>
        <w:jc w:val="both"/>
        <w:rPr>
          <w:rFonts w:ascii="Calibri" w:hAnsi="Calibri" w:cs="Calibri"/>
          <w:sz w:val="22"/>
          <w:szCs w:val="22"/>
        </w:rPr>
      </w:pPr>
      <w:r>
        <w:rPr>
          <w:rFonts w:ascii="Calibri" w:hAnsi="Calibri" w:cs="Calibri"/>
          <w:sz w:val="22"/>
          <w:szCs w:val="22"/>
        </w:rPr>
        <w:t>The DVC accountable for academic matters holds final authority for the approval of merit awards and payments for excellence.  There is no appeal process</w:t>
      </w:r>
      <w:r w:rsidR="00951323">
        <w:rPr>
          <w:rFonts w:ascii="Calibri" w:hAnsi="Calibri" w:cs="Calibri"/>
          <w:sz w:val="22"/>
          <w:szCs w:val="22"/>
        </w:rPr>
        <w:t>, however, i</w:t>
      </w:r>
      <w:r>
        <w:rPr>
          <w:rFonts w:ascii="Calibri" w:hAnsi="Calibri" w:cs="Calibri"/>
          <w:sz w:val="22"/>
          <w:szCs w:val="22"/>
        </w:rPr>
        <w:t>f there is a breakdown in the process of application and assessment the case will be addressed on an individual basis.</w:t>
      </w:r>
    </w:p>
    <w:p w:rsidR="00BB22D3" w:rsidRPr="00934F71" w:rsidRDefault="00BB22D3" w:rsidP="00BB22D3">
      <w:pPr>
        <w:spacing w:before="120" w:after="120" w:line="320" w:lineRule="atLeast"/>
        <w:ind w:left="357"/>
        <w:jc w:val="both"/>
        <w:rPr>
          <w:rFonts w:ascii="Calibri" w:hAnsi="Calibri" w:cs="Calibri"/>
          <w:b/>
          <w:sz w:val="22"/>
          <w:szCs w:val="22"/>
        </w:rPr>
      </w:pPr>
      <w:r>
        <w:rPr>
          <w:rFonts w:ascii="Calibri" w:hAnsi="Calibri"/>
          <w:b/>
          <w:i/>
          <w:sz w:val="22"/>
          <w:szCs w:val="22"/>
        </w:rPr>
        <w:t>Implementation details for 2011</w:t>
      </w:r>
    </w:p>
    <w:p w:rsidR="00BB22D3" w:rsidRPr="00790336" w:rsidRDefault="00BB22D3" w:rsidP="00BB22D3">
      <w:pPr>
        <w:pStyle w:val="ListParagraph"/>
        <w:numPr>
          <w:ilvl w:val="0"/>
          <w:numId w:val="39"/>
        </w:numPr>
        <w:spacing w:before="120" w:after="120" w:line="320" w:lineRule="atLeast"/>
        <w:jc w:val="both"/>
        <w:rPr>
          <w:rFonts w:ascii="Calibri" w:hAnsi="Calibri"/>
          <w:sz w:val="22"/>
          <w:szCs w:val="22"/>
          <w:lang w:val="en-GB"/>
        </w:rPr>
      </w:pPr>
      <w:r w:rsidRPr="00790336">
        <w:rPr>
          <w:rFonts w:ascii="Calibri" w:hAnsi="Calibri"/>
          <w:sz w:val="22"/>
          <w:szCs w:val="22"/>
          <w:lang w:val="en-GB"/>
        </w:rPr>
        <w:t xml:space="preserve">It is proposed that in the first year of implementation </w:t>
      </w:r>
      <w:r>
        <w:rPr>
          <w:rFonts w:ascii="Calibri" w:hAnsi="Calibri"/>
          <w:sz w:val="22"/>
          <w:szCs w:val="22"/>
          <w:lang w:val="en-GB"/>
        </w:rPr>
        <w:t xml:space="preserve">(2011) </w:t>
      </w:r>
      <w:r w:rsidRPr="00790336">
        <w:rPr>
          <w:rFonts w:ascii="Calibri" w:hAnsi="Calibri"/>
          <w:sz w:val="22"/>
          <w:szCs w:val="22"/>
          <w:lang w:val="en-GB"/>
        </w:rPr>
        <w:t>the number of merit awards be limited to 7-8% of staff in the relevant ranks, with the balance of awards (2-3%) given in the following year</w:t>
      </w:r>
      <w:r>
        <w:rPr>
          <w:rFonts w:ascii="Calibri" w:hAnsi="Calibri"/>
          <w:sz w:val="22"/>
          <w:szCs w:val="22"/>
          <w:lang w:val="en-GB"/>
        </w:rPr>
        <w:t xml:space="preserve"> (2012)</w:t>
      </w:r>
      <w:r w:rsidRPr="00790336">
        <w:rPr>
          <w:rFonts w:ascii="Calibri" w:hAnsi="Calibri"/>
          <w:sz w:val="22"/>
          <w:szCs w:val="22"/>
          <w:lang w:val="en-GB"/>
        </w:rPr>
        <w:t xml:space="preserve">.  </w:t>
      </w:r>
    </w:p>
    <w:p w:rsidR="00BB22D3" w:rsidRDefault="00BB22D3" w:rsidP="00BB22D3">
      <w:pPr>
        <w:pStyle w:val="ListParagraph"/>
        <w:numPr>
          <w:ilvl w:val="0"/>
          <w:numId w:val="39"/>
        </w:numPr>
        <w:spacing w:before="120" w:after="120" w:line="320" w:lineRule="atLeast"/>
        <w:jc w:val="both"/>
        <w:rPr>
          <w:rFonts w:ascii="Calibri" w:hAnsi="Calibri"/>
          <w:sz w:val="22"/>
          <w:szCs w:val="22"/>
          <w:lang w:val="en-GB"/>
        </w:rPr>
      </w:pPr>
      <w:r>
        <w:rPr>
          <w:rFonts w:ascii="Calibri" w:hAnsi="Calibri"/>
          <w:sz w:val="22"/>
          <w:szCs w:val="22"/>
          <w:lang w:val="en-GB"/>
        </w:rPr>
        <w:t>If the recurrent allocation for merit awards in a given faculty is not fully utilised in a given year, the balance from that year will form part of the surplus on ROT which will go into the prior year reserves. The amount will again be available in subsequent years for allocation.</w:t>
      </w:r>
    </w:p>
    <w:p w:rsidR="00BB22D3" w:rsidRDefault="00BB22D3" w:rsidP="00C71EBF">
      <w:pPr>
        <w:spacing w:before="120" w:after="120" w:line="320" w:lineRule="atLeast"/>
        <w:jc w:val="both"/>
        <w:rPr>
          <w:rFonts w:asciiTheme="minorHAnsi" w:hAnsiTheme="minorHAnsi" w:cs="Tahoma"/>
          <w:b/>
          <w:smallCaps/>
        </w:rPr>
      </w:pPr>
    </w:p>
    <w:p w:rsidR="00BF6F4C" w:rsidRPr="00DE147C" w:rsidRDefault="00BB22D3" w:rsidP="00C71EBF">
      <w:pPr>
        <w:spacing w:before="120" w:after="120" w:line="320" w:lineRule="atLeast"/>
        <w:jc w:val="both"/>
        <w:rPr>
          <w:rFonts w:asciiTheme="minorHAnsi" w:hAnsiTheme="minorHAnsi" w:cs="Tahoma"/>
          <w:b/>
          <w:smallCaps/>
        </w:rPr>
      </w:pPr>
      <w:r>
        <w:rPr>
          <w:rFonts w:asciiTheme="minorHAnsi" w:hAnsiTheme="minorHAnsi" w:cs="Tahoma"/>
          <w:b/>
          <w:smallCaps/>
        </w:rPr>
        <w:t>7</w:t>
      </w:r>
      <w:r w:rsidR="00BF3B5E" w:rsidRPr="00DE147C">
        <w:rPr>
          <w:rFonts w:asciiTheme="minorHAnsi" w:hAnsiTheme="minorHAnsi" w:cs="Tahoma"/>
          <w:b/>
          <w:smallCaps/>
        </w:rPr>
        <w:t xml:space="preserve">. </w:t>
      </w:r>
      <w:r w:rsidR="00B537E1" w:rsidRPr="00DE147C">
        <w:rPr>
          <w:rFonts w:asciiTheme="minorHAnsi" w:hAnsiTheme="minorHAnsi" w:cs="Tahoma"/>
          <w:b/>
          <w:smallCaps/>
        </w:rPr>
        <w:t xml:space="preserve">  </w:t>
      </w:r>
      <w:proofErr w:type="spellStart"/>
      <w:r w:rsidR="00B537E1" w:rsidRPr="00DE147C">
        <w:rPr>
          <w:rFonts w:asciiTheme="minorHAnsi" w:hAnsiTheme="minorHAnsi" w:cs="Tahoma"/>
          <w:b/>
          <w:smallCaps/>
        </w:rPr>
        <w:t>I</w:t>
      </w:r>
      <w:r w:rsidR="00CB23DC" w:rsidRPr="00DE147C">
        <w:rPr>
          <w:rFonts w:asciiTheme="minorHAnsi" w:hAnsiTheme="minorHAnsi" w:cs="Tahoma"/>
          <w:b/>
          <w:smallCaps/>
        </w:rPr>
        <w:t>mplementational</w:t>
      </w:r>
      <w:proofErr w:type="spellEnd"/>
      <w:r w:rsidR="00CB23DC" w:rsidRPr="00DE147C">
        <w:rPr>
          <w:rFonts w:asciiTheme="minorHAnsi" w:hAnsiTheme="minorHAnsi" w:cs="Tahoma"/>
          <w:b/>
          <w:smallCaps/>
        </w:rPr>
        <w:t xml:space="preserve"> aspects of the recommendations</w:t>
      </w:r>
    </w:p>
    <w:p w:rsidR="00BF6F4C" w:rsidRPr="00C77E3B" w:rsidRDefault="007F7360" w:rsidP="00C71EBF">
      <w:pPr>
        <w:pStyle w:val="ListParagraph"/>
        <w:spacing w:before="120" w:after="120" w:line="320" w:lineRule="atLeast"/>
        <w:ind w:left="0"/>
        <w:jc w:val="both"/>
        <w:rPr>
          <w:rFonts w:asciiTheme="minorHAnsi" w:hAnsiTheme="minorHAnsi" w:cs="Tahoma"/>
          <w:sz w:val="22"/>
          <w:szCs w:val="22"/>
        </w:rPr>
      </w:pPr>
      <w:r>
        <w:rPr>
          <w:rFonts w:asciiTheme="minorHAnsi" w:hAnsiTheme="minorHAnsi" w:cs="Tahoma"/>
          <w:sz w:val="22"/>
          <w:szCs w:val="22"/>
        </w:rPr>
        <w:t>It is recommended</w:t>
      </w:r>
      <w:r w:rsidR="00BF6F4C" w:rsidRPr="00C77E3B">
        <w:rPr>
          <w:rFonts w:asciiTheme="minorHAnsi" w:hAnsiTheme="minorHAnsi" w:cs="Tahoma"/>
          <w:sz w:val="22"/>
          <w:szCs w:val="22"/>
        </w:rPr>
        <w:t xml:space="preserve"> that</w:t>
      </w:r>
    </w:p>
    <w:p w:rsidR="00BF6F4C" w:rsidRPr="00C77E3B" w:rsidRDefault="00BF6F4C" w:rsidP="00C71EBF">
      <w:pPr>
        <w:pStyle w:val="ListParagraph"/>
        <w:numPr>
          <w:ilvl w:val="0"/>
          <w:numId w:val="13"/>
        </w:numPr>
        <w:tabs>
          <w:tab w:val="left" w:pos="720"/>
          <w:tab w:val="left" w:pos="1440"/>
        </w:tabs>
        <w:spacing w:before="120" w:after="120" w:line="320" w:lineRule="atLeast"/>
        <w:jc w:val="both"/>
        <w:rPr>
          <w:rFonts w:asciiTheme="minorHAnsi" w:hAnsiTheme="minorHAnsi"/>
          <w:sz w:val="22"/>
          <w:szCs w:val="22"/>
        </w:rPr>
      </w:pPr>
      <w:proofErr w:type="gramStart"/>
      <w:r w:rsidRPr="00C77E3B">
        <w:rPr>
          <w:rFonts w:asciiTheme="minorHAnsi" w:hAnsiTheme="minorHAnsi" w:cs="Tahoma"/>
          <w:sz w:val="22"/>
          <w:szCs w:val="22"/>
        </w:rPr>
        <w:t>the</w:t>
      </w:r>
      <w:proofErr w:type="gramEnd"/>
      <w:r w:rsidRPr="00C77E3B">
        <w:rPr>
          <w:rFonts w:asciiTheme="minorHAnsi" w:hAnsiTheme="minorHAnsi" w:cs="Tahoma"/>
          <w:sz w:val="22"/>
          <w:szCs w:val="22"/>
        </w:rPr>
        <w:t xml:space="preserve"> processes </w:t>
      </w:r>
      <w:r w:rsidRPr="00C77E3B">
        <w:rPr>
          <w:rFonts w:asciiTheme="minorHAnsi" w:hAnsiTheme="minorHAnsi"/>
          <w:sz w:val="22"/>
          <w:szCs w:val="22"/>
        </w:rPr>
        <w:t>of goal setting and assessment be alig</w:t>
      </w:r>
      <w:r w:rsidR="007F7360">
        <w:rPr>
          <w:rFonts w:asciiTheme="minorHAnsi" w:hAnsiTheme="minorHAnsi"/>
          <w:sz w:val="22"/>
          <w:szCs w:val="22"/>
        </w:rPr>
        <w:t xml:space="preserve">ned with the </w:t>
      </w:r>
      <w:r w:rsidR="00CD7B01">
        <w:rPr>
          <w:rFonts w:asciiTheme="minorHAnsi" w:hAnsiTheme="minorHAnsi"/>
          <w:sz w:val="22"/>
          <w:szCs w:val="22"/>
        </w:rPr>
        <w:t xml:space="preserve">current performance cycle (2008 </w:t>
      </w:r>
      <w:r w:rsidR="00F52C42">
        <w:rPr>
          <w:rFonts w:asciiTheme="minorHAnsi" w:hAnsiTheme="minorHAnsi"/>
          <w:sz w:val="22"/>
          <w:szCs w:val="22"/>
        </w:rPr>
        <w:t>–</w:t>
      </w:r>
      <w:r w:rsidR="00CD7B01">
        <w:rPr>
          <w:rFonts w:asciiTheme="minorHAnsi" w:hAnsiTheme="minorHAnsi"/>
          <w:sz w:val="22"/>
          <w:szCs w:val="22"/>
        </w:rPr>
        <w:t xml:space="preserve"> 2010) and therefore the next performance cycle will be for the period</w:t>
      </w:r>
      <w:r w:rsidRPr="00C77E3B">
        <w:rPr>
          <w:rFonts w:asciiTheme="minorHAnsi" w:hAnsiTheme="minorHAnsi"/>
          <w:sz w:val="22"/>
          <w:szCs w:val="22"/>
        </w:rPr>
        <w:t xml:space="preserve"> </w:t>
      </w:r>
      <w:r w:rsidR="00CD7B01">
        <w:rPr>
          <w:rFonts w:asciiTheme="minorHAnsi" w:hAnsiTheme="minorHAnsi"/>
          <w:sz w:val="22"/>
          <w:szCs w:val="22"/>
        </w:rPr>
        <w:t>2011 – 2014</w:t>
      </w:r>
      <w:r w:rsidRPr="00C77E3B">
        <w:rPr>
          <w:rFonts w:asciiTheme="minorHAnsi" w:hAnsiTheme="minorHAnsi"/>
          <w:sz w:val="22"/>
          <w:szCs w:val="22"/>
        </w:rPr>
        <w:t xml:space="preserve">. The round of assessments </w:t>
      </w:r>
      <w:r w:rsidR="00B22791">
        <w:rPr>
          <w:rFonts w:asciiTheme="minorHAnsi" w:hAnsiTheme="minorHAnsi"/>
          <w:sz w:val="22"/>
          <w:szCs w:val="22"/>
        </w:rPr>
        <w:t xml:space="preserve">which took place in </w:t>
      </w:r>
      <w:r w:rsidRPr="00C77E3B">
        <w:rPr>
          <w:rFonts w:asciiTheme="minorHAnsi" w:hAnsiTheme="minorHAnsi"/>
          <w:sz w:val="22"/>
          <w:szCs w:val="22"/>
        </w:rPr>
        <w:t>mid-2010 w</w:t>
      </w:r>
      <w:r w:rsidR="00B22791">
        <w:rPr>
          <w:rFonts w:asciiTheme="minorHAnsi" w:hAnsiTheme="minorHAnsi"/>
          <w:sz w:val="22"/>
          <w:szCs w:val="22"/>
        </w:rPr>
        <w:t>as</w:t>
      </w:r>
      <w:r w:rsidRPr="00C77E3B">
        <w:rPr>
          <w:rFonts w:asciiTheme="minorHAnsi" w:hAnsiTheme="minorHAnsi"/>
          <w:sz w:val="22"/>
          <w:szCs w:val="22"/>
        </w:rPr>
        <w:t xml:space="preserve"> based on the </w:t>
      </w:r>
      <w:r w:rsidR="00CD7B01">
        <w:rPr>
          <w:rFonts w:asciiTheme="minorHAnsi" w:hAnsiTheme="minorHAnsi"/>
          <w:sz w:val="22"/>
          <w:szCs w:val="22"/>
        </w:rPr>
        <w:t>previously-approved</w:t>
      </w:r>
      <w:r w:rsidRPr="00C77E3B">
        <w:rPr>
          <w:rFonts w:asciiTheme="minorHAnsi" w:hAnsiTheme="minorHAnsi"/>
          <w:sz w:val="22"/>
          <w:szCs w:val="22"/>
        </w:rPr>
        <w:t xml:space="preserve"> set of criteria and performance</w:t>
      </w:r>
      <w:r w:rsidR="00CD7B01">
        <w:rPr>
          <w:rFonts w:asciiTheme="minorHAnsi" w:hAnsiTheme="minorHAnsi"/>
          <w:sz w:val="22"/>
          <w:szCs w:val="22"/>
        </w:rPr>
        <w:t xml:space="preserve"> was assessed</w:t>
      </w:r>
      <w:r w:rsidRPr="00C77E3B">
        <w:rPr>
          <w:rFonts w:asciiTheme="minorHAnsi" w:hAnsiTheme="minorHAnsi"/>
          <w:sz w:val="22"/>
          <w:szCs w:val="22"/>
        </w:rPr>
        <w:t xml:space="preserve"> over the preceding three years. Objectives for the </w:t>
      </w:r>
      <w:r w:rsidR="007F7360">
        <w:rPr>
          <w:rFonts w:asciiTheme="minorHAnsi" w:hAnsiTheme="minorHAnsi"/>
          <w:sz w:val="22"/>
          <w:szCs w:val="22"/>
        </w:rPr>
        <w:t>next four-year</w:t>
      </w:r>
      <w:r w:rsidR="00FB17A1" w:rsidRPr="00C77E3B">
        <w:rPr>
          <w:rFonts w:asciiTheme="minorHAnsi" w:hAnsiTheme="minorHAnsi"/>
          <w:sz w:val="22"/>
          <w:szCs w:val="22"/>
        </w:rPr>
        <w:t xml:space="preserve"> cycle </w:t>
      </w:r>
      <w:r w:rsidR="00CD7B01">
        <w:rPr>
          <w:rFonts w:asciiTheme="minorHAnsi" w:hAnsiTheme="minorHAnsi"/>
          <w:sz w:val="22"/>
          <w:szCs w:val="22"/>
        </w:rPr>
        <w:t xml:space="preserve">(2011 – 2014) </w:t>
      </w:r>
      <w:r w:rsidRPr="00C77E3B">
        <w:rPr>
          <w:rFonts w:asciiTheme="minorHAnsi" w:hAnsiTheme="minorHAnsi"/>
          <w:sz w:val="22"/>
          <w:szCs w:val="22"/>
        </w:rPr>
        <w:t>will be set in accordance with the new set</w:t>
      </w:r>
      <w:r w:rsidR="00CD7B01">
        <w:rPr>
          <w:rFonts w:asciiTheme="minorHAnsi" w:hAnsiTheme="minorHAnsi"/>
          <w:sz w:val="22"/>
          <w:szCs w:val="22"/>
        </w:rPr>
        <w:t>s</w:t>
      </w:r>
      <w:r w:rsidRPr="00C77E3B">
        <w:rPr>
          <w:rFonts w:asciiTheme="minorHAnsi" w:hAnsiTheme="minorHAnsi"/>
          <w:sz w:val="22"/>
          <w:szCs w:val="22"/>
        </w:rPr>
        <w:t xml:space="preserve"> of criteria</w:t>
      </w:r>
      <w:r w:rsidR="0026745B" w:rsidRPr="00C77E3B">
        <w:rPr>
          <w:rFonts w:asciiTheme="minorHAnsi" w:hAnsiTheme="minorHAnsi"/>
          <w:sz w:val="22"/>
          <w:szCs w:val="22"/>
        </w:rPr>
        <w:t>;</w:t>
      </w:r>
    </w:p>
    <w:p w:rsidR="00BF6F4C" w:rsidRPr="00C77E3B" w:rsidRDefault="00BF6F4C" w:rsidP="00C71EBF">
      <w:pPr>
        <w:pStyle w:val="ListParagraph"/>
        <w:numPr>
          <w:ilvl w:val="0"/>
          <w:numId w:val="13"/>
        </w:numPr>
        <w:tabs>
          <w:tab w:val="left" w:pos="720"/>
          <w:tab w:val="left" w:pos="1440"/>
        </w:tabs>
        <w:spacing w:before="240" w:after="200" w:line="276" w:lineRule="auto"/>
        <w:jc w:val="both"/>
        <w:rPr>
          <w:rFonts w:asciiTheme="minorHAnsi" w:hAnsiTheme="minorHAnsi"/>
          <w:b/>
          <w:color w:val="000000"/>
          <w:sz w:val="22"/>
          <w:szCs w:val="22"/>
        </w:rPr>
      </w:pPr>
      <w:r w:rsidRPr="00C77E3B">
        <w:rPr>
          <w:rFonts w:asciiTheme="minorHAnsi" w:hAnsiTheme="minorHAnsi"/>
          <w:sz w:val="22"/>
          <w:szCs w:val="22"/>
        </w:rPr>
        <w:t>current sta</w:t>
      </w:r>
      <w:r w:rsidR="005E17D2">
        <w:rPr>
          <w:rFonts w:asciiTheme="minorHAnsi" w:hAnsiTheme="minorHAnsi"/>
          <w:sz w:val="22"/>
          <w:szCs w:val="22"/>
        </w:rPr>
        <w:t>ff deemed not to be meeting the</w:t>
      </w:r>
      <w:r w:rsidRPr="00C77E3B">
        <w:rPr>
          <w:rFonts w:asciiTheme="minorHAnsi" w:hAnsiTheme="minorHAnsi"/>
          <w:sz w:val="22"/>
          <w:szCs w:val="22"/>
        </w:rPr>
        <w:t xml:space="preserve"> criteria </w:t>
      </w:r>
      <w:r w:rsidR="005E17D2">
        <w:rPr>
          <w:rFonts w:asciiTheme="minorHAnsi" w:hAnsiTheme="minorHAnsi"/>
          <w:sz w:val="22"/>
          <w:szCs w:val="22"/>
        </w:rPr>
        <w:t xml:space="preserve">for expected performance </w:t>
      </w:r>
      <w:r w:rsidRPr="00C77E3B">
        <w:rPr>
          <w:rFonts w:asciiTheme="minorHAnsi" w:hAnsiTheme="minorHAnsi"/>
          <w:sz w:val="22"/>
          <w:szCs w:val="22"/>
        </w:rPr>
        <w:t>continue to be assessed against  their individual plans and agreed objectives</w:t>
      </w:r>
      <w:r w:rsidR="0026745B" w:rsidRPr="00C77E3B">
        <w:rPr>
          <w:rFonts w:asciiTheme="minorHAnsi" w:hAnsiTheme="minorHAnsi"/>
          <w:sz w:val="22"/>
          <w:szCs w:val="22"/>
        </w:rPr>
        <w:t>;</w:t>
      </w:r>
    </w:p>
    <w:p w:rsidR="00D02C3F" w:rsidRPr="00C77E3B" w:rsidRDefault="0026745B" w:rsidP="005D7AF3">
      <w:pPr>
        <w:pStyle w:val="ListParagraph"/>
        <w:numPr>
          <w:ilvl w:val="0"/>
          <w:numId w:val="13"/>
        </w:numPr>
        <w:tabs>
          <w:tab w:val="left" w:pos="720"/>
          <w:tab w:val="left" w:pos="1440"/>
        </w:tabs>
        <w:spacing w:before="240" w:after="200" w:line="276" w:lineRule="auto"/>
        <w:ind w:left="215" w:hanging="215"/>
        <w:jc w:val="both"/>
        <w:rPr>
          <w:rFonts w:asciiTheme="minorHAnsi" w:hAnsiTheme="minorHAnsi"/>
          <w:color w:val="000000"/>
          <w:sz w:val="22"/>
          <w:szCs w:val="22"/>
        </w:rPr>
      </w:pPr>
      <w:proofErr w:type="gramStart"/>
      <w:r w:rsidRPr="00C77E3B">
        <w:rPr>
          <w:rFonts w:asciiTheme="minorHAnsi" w:hAnsiTheme="minorHAnsi"/>
          <w:sz w:val="22"/>
          <w:szCs w:val="22"/>
        </w:rPr>
        <w:t>a</w:t>
      </w:r>
      <w:r w:rsidR="00CB23DC" w:rsidRPr="00C77E3B">
        <w:rPr>
          <w:rFonts w:asciiTheme="minorHAnsi" w:hAnsiTheme="minorHAnsi"/>
          <w:sz w:val="22"/>
          <w:szCs w:val="22"/>
        </w:rPr>
        <w:t>n</w:t>
      </w:r>
      <w:proofErr w:type="gramEnd"/>
      <w:r w:rsidR="00CB23DC" w:rsidRPr="00C77E3B">
        <w:rPr>
          <w:rFonts w:asciiTheme="minorHAnsi" w:hAnsiTheme="minorHAnsi"/>
          <w:sz w:val="22"/>
          <w:szCs w:val="22"/>
        </w:rPr>
        <w:t xml:space="preserve"> </w:t>
      </w:r>
      <w:r w:rsidR="00B73A83" w:rsidRPr="00C77E3B">
        <w:rPr>
          <w:rFonts w:asciiTheme="minorHAnsi" w:hAnsiTheme="minorHAnsi"/>
          <w:sz w:val="22"/>
          <w:szCs w:val="22"/>
        </w:rPr>
        <w:t>implementation plan,</w:t>
      </w:r>
      <w:r w:rsidR="00CB23DC" w:rsidRPr="00C77E3B">
        <w:rPr>
          <w:rFonts w:asciiTheme="minorHAnsi" w:hAnsiTheme="minorHAnsi"/>
          <w:sz w:val="22"/>
          <w:szCs w:val="22"/>
        </w:rPr>
        <w:t xml:space="preserve"> with accompanying timetable, be developed under the oversight of the Committee of Deans. The plan should include details on </w:t>
      </w:r>
      <w:r w:rsidR="00B73A83" w:rsidRPr="00C77E3B">
        <w:rPr>
          <w:rFonts w:asciiTheme="minorHAnsi" w:hAnsiTheme="minorHAnsi"/>
          <w:sz w:val="22"/>
          <w:szCs w:val="22"/>
        </w:rPr>
        <w:t xml:space="preserve">training for </w:t>
      </w:r>
      <w:r w:rsidR="00FD40E0">
        <w:rPr>
          <w:rFonts w:asciiTheme="minorHAnsi" w:hAnsiTheme="minorHAnsi"/>
          <w:sz w:val="22"/>
          <w:szCs w:val="22"/>
        </w:rPr>
        <w:t>H</w:t>
      </w:r>
      <w:r w:rsidR="00B73A83" w:rsidRPr="00C77E3B">
        <w:rPr>
          <w:rFonts w:asciiTheme="minorHAnsi" w:hAnsiTheme="minorHAnsi"/>
          <w:sz w:val="22"/>
          <w:szCs w:val="22"/>
        </w:rPr>
        <w:t>eads</w:t>
      </w:r>
      <w:r w:rsidR="00FD40E0">
        <w:rPr>
          <w:rFonts w:asciiTheme="minorHAnsi" w:hAnsiTheme="minorHAnsi"/>
          <w:sz w:val="22"/>
          <w:szCs w:val="22"/>
        </w:rPr>
        <w:t xml:space="preserve"> of Departments;</w:t>
      </w:r>
      <w:r w:rsidR="00B73A83" w:rsidRPr="00C77E3B">
        <w:rPr>
          <w:rFonts w:asciiTheme="minorHAnsi" w:hAnsiTheme="minorHAnsi"/>
          <w:sz w:val="22"/>
          <w:szCs w:val="22"/>
        </w:rPr>
        <w:t xml:space="preserve"> </w:t>
      </w:r>
    </w:p>
    <w:p w:rsidR="00E443B7" w:rsidRPr="00C77E3B" w:rsidRDefault="00E443B7" w:rsidP="00C71EBF">
      <w:pPr>
        <w:pStyle w:val="ListParagraph"/>
        <w:numPr>
          <w:ilvl w:val="0"/>
          <w:numId w:val="13"/>
        </w:numPr>
        <w:tabs>
          <w:tab w:val="left" w:pos="720"/>
          <w:tab w:val="left" w:pos="1440"/>
        </w:tabs>
        <w:spacing w:before="240" w:after="200" w:line="276" w:lineRule="auto"/>
        <w:jc w:val="both"/>
        <w:rPr>
          <w:rFonts w:asciiTheme="minorHAnsi" w:hAnsiTheme="minorHAnsi"/>
          <w:color w:val="000000"/>
          <w:sz w:val="22"/>
          <w:szCs w:val="22"/>
        </w:rPr>
      </w:pPr>
      <w:proofErr w:type="gramStart"/>
      <w:r w:rsidRPr="00C77E3B">
        <w:rPr>
          <w:rFonts w:asciiTheme="minorHAnsi" w:hAnsiTheme="minorHAnsi"/>
          <w:sz w:val="22"/>
          <w:szCs w:val="22"/>
        </w:rPr>
        <w:t>the</w:t>
      </w:r>
      <w:proofErr w:type="gramEnd"/>
      <w:r w:rsidRPr="00C77E3B">
        <w:rPr>
          <w:rFonts w:asciiTheme="minorHAnsi" w:hAnsiTheme="minorHAnsi"/>
          <w:sz w:val="22"/>
          <w:szCs w:val="22"/>
        </w:rPr>
        <w:t xml:space="preserve"> new plan and policy be reviewed following the end of the first </w:t>
      </w:r>
      <w:r w:rsidR="00FD40E0">
        <w:rPr>
          <w:rFonts w:asciiTheme="minorHAnsi" w:hAnsiTheme="minorHAnsi"/>
          <w:sz w:val="22"/>
          <w:szCs w:val="22"/>
        </w:rPr>
        <w:t>year (end of 2011)</w:t>
      </w:r>
      <w:r w:rsidR="00FD40E0">
        <w:rPr>
          <w:rStyle w:val="FootnoteReference"/>
          <w:rFonts w:asciiTheme="minorHAnsi" w:hAnsiTheme="minorHAnsi"/>
          <w:sz w:val="22"/>
          <w:szCs w:val="22"/>
        </w:rPr>
        <w:footnoteReference w:id="1"/>
      </w:r>
      <w:r w:rsidRPr="00C77E3B">
        <w:rPr>
          <w:rFonts w:asciiTheme="minorHAnsi" w:hAnsiTheme="minorHAnsi"/>
          <w:sz w:val="22"/>
          <w:szCs w:val="22"/>
        </w:rPr>
        <w:t>.</w:t>
      </w:r>
    </w:p>
    <w:p w:rsidR="00FD2B76" w:rsidRDefault="00C77E3B" w:rsidP="00C77E3B">
      <w:pPr>
        <w:spacing w:after="200" w:line="276" w:lineRule="auto"/>
        <w:rPr>
          <w:rFonts w:asciiTheme="minorHAnsi" w:hAnsiTheme="minorHAnsi"/>
          <w:b/>
          <w:bCs/>
          <w:smallCaps/>
          <w:color w:val="000000"/>
          <w:szCs w:val="22"/>
        </w:rPr>
      </w:pPr>
      <w:r>
        <w:rPr>
          <w:rFonts w:asciiTheme="minorHAnsi" w:hAnsiTheme="minorHAnsi"/>
          <w:b/>
          <w:bCs/>
          <w:color w:val="000000"/>
          <w:sz w:val="22"/>
          <w:szCs w:val="22"/>
        </w:rPr>
        <w:br w:type="page"/>
      </w:r>
      <w:r w:rsidRPr="00FD2B76">
        <w:rPr>
          <w:rFonts w:asciiTheme="minorHAnsi" w:hAnsiTheme="minorHAnsi"/>
          <w:b/>
          <w:bCs/>
          <w:smallCaps/>
          <w:color w:val="000000"/>
          <w:szCs w:val="22"/>
        </w:rPr>
        <w:lastRenderedPageBreak/>
        <w:t xml:space="preserve">Annexure 1 </w:t>
      </w:r>
    </w:p>
    <w:p w:rsidR="00C77E3B" w:rsidRPr="00FD2B76" w:rsidRDefault="00C77E3B" w:rsidP="00FD2B76">
      <w:pPr>
        <w:spacing w:after="200" w:line="276" w:lineRule="auto"/>
        <w:rPr>
          <w:rFonts w:asciiTheme="minorHAnsi" w:hAnsiTheme="minorHAnsi"/>
          <w:b/>
          <w:bCs/>
          <w:smallCaps/>
          <w:color w:val="000000"/>
          <w:szCs w:val="22"/>
        </w:rPr>
      </w:pPr>
      <w:r w:rsidRPr="00FD2B76">
        <w:rPr>
          <w:rFonts w:asciiTheme="minorHAnsi" w:hAnsiTheme="minorHAnsi"/>
          <w:b/>
          <w:bCs/>
          <w:smallCaps/>
          <w:color w:val="000000"/>
          <w:szCs w:val="22"/>
        </w:rPr>
        <w:t>Performance Criteria</w:t>
      </w:r>
    </w:p>
    <w:p w:rsidR="00C77E3B" w:rsidRPr="00FD2B76" w:rsidRDefault="00C77E3B" w:rsidP="00C77E3B">
      <w:pPr>
        <w:autoSpaceDE w:val="0"/>
        <w:autoSpaceDN w:val="0"/>
        <w:adjustRightInd w:val="0"/>
        <w:spacing w:before="120" w:after="120" w:line="320" w:lineRule="atLeast"/>
        <w:rPr>
          <w:rFonts w:asciiTheme="minorHAnsi" w:hAnsiTheme="minorHAnsi"/>
          <w:b/>
          <w:bCs/>
          <w:color w:val="000000"/>
          <w:sz w:val="22"/>
          <w:szCs w:val="22"/>
        </w:rPr>
      </w:pPr>
      <w:r w:rsidRPr="00FD2B76">
        <w:rPr>
          <w:rFonts w:asciiTheme="minorHAnsi" w:hAnsiTheme="minorHAnsi"/>
          <w:b/>
          <w:bCs/>
          <w:color w:val="000000"/>
          <w:sz w:val="22"/>
          <w:szCs w:val="22"/>
        </w:rPr>
        <w:t>Preamble</w:t>
      </w:r>
    </w:p>
    <w:p w:rsidR="00C77E3B" w:rsidRPr="00C77E3B" w:rsidRDefault="00C77E3B" w:rsidP="00C77E3B">
      <w:pPr>
        <w:autoSpaceDE w:val="0"/>
        <w:autoSpaceDN w:val="0"/>
        <w:adjustRightInd w:val="0"/>
        <w:spacing w:before="120" w:after="120" w:line="320" w:lineRule="atLeast"/>
        <w:rPr>
          <w:rFonts w:asciiTheme="minorHAnsi" w:hAnsiTheme="minorHAnsi"/>
          <w:color w:val="000000"/>
          <w:sz w:val="22"/>
          <w:szCs w:val="22"/>
        </w:rPr>
      </w:pPr>
      <w:r w:rsidRPr="00C77E3B">
        <w:rPr>
          <w:rFonts w:asciiTheme="minorHAnsi" w:hAnsiTheme="minorHAnsi"/>
          <w:bCs/>
          <w:color w:val="000000"/>
          <w:sz w:val="22"/>
          <w:szCs w:val="22"/>
        </w:rPr>
        <w:t xml:space="preserve">Academic </w:t>
      </w:r>
      <w:proofErr w:type="gramStart"/>
      <w:r w:rsidRPr="00C77E3B">
        <w:rPr>
          <w:rFonts w:asciiTheme="minorHAnsi" w:hAnsiTheme="minorHAnsi"/>
          <w:bCs/>
          <w:color w:val="000000"/>
          <w:sz w:val="22"/>
          <w:szCs w:val="22"/>
        </w:rPr>
        <w:t>staff at the University of Cape Town are</w:t>
      </w:r>
      <w:proofErr w:type="gramEnd"/>
      <w:r w:rsidRPr="00C77E3B">
        <w:rPr>
          <w:rFonts w:asciiTheme="minorHAnsi" w:hAnsiTheme="minorHAnsi"/>
          <w:bCs/>
          <w:color w:val="000000"/>
          <w:sz w:val="22"/>
          <w:szCs w:val="22"/>
        </w:rPr>
        <w:t xml:space="preserve"> expected to u</w:t>
      </w:r>
      <w:r w:rsidRPr="00C77E3B">
        <w:rPr>
          <w:rFonts w:asciiTheme="minorHAnsi" w:hAnsiTheme="minorHAnsi"/>
          <w:color w:val="000000"/>
          <w:sz w:val="22"/>
          <w:szCs w:val="22"/>
        </w:rPr>
        <w:t>ndertake an appropriate teaching load as determined by the faculty and department. Besides conventional teaching, a range of educational responsibilities can be recognised as contributing to the teaching load. Staff are expected to meet the requirements of the Teaching and Learning Charter, and using a teaching portfolio as evidence, demonstrate effectiveness as a teacher of undergraduate students by incorporating relevant disciplinary developments in course teaching, analysing and commenting reflectively on student performance data and developing responses to unusually high or low success rates.  There is an expectation to respond to course evaluations and external examiners’ reports, and to utilise professional development opportunities where appropriate.  At higher ranks, there is an increased expectation for effective postgraduate student supervision, where opportunities exist.  Quality underpins all teaching expectations.</w:t>
      </w:r>
    </w:p>
    <w:p w:rsidR="00C77E3B" w:rsidRPr="00C77E3B" w:rsidRDefault="00C77E3B" w:rsidP="00C77E3B">
      <w:pPr>
        <w:autoSpaceDE w:val="0"/>
        <w:autoSpaceDN w:val="0"/>
        <w:adjustRightInd w:val="0"/>
        <w:spacing w:before="120" w:after="120" w:line="320" w:lineRule="atLeast"/>
        <w:rPr>
          <w:rFonts w:asciiTheme="minorHAnsi" w:hAnsiTheme="minorHAnsi"/>
          <w:color w:val="000000"/>
          <w:sz w:val="22"/>
          <w:szCs w:val="22"/>
        </w:rPr>
      </w:pPr>
      <w:r w:rsidRPr="00C77E3B">
        <w:rPr>
          <w:rFonts w:asciiTheme="minorHAnsi" w:hAnsiTheme="minorHAnsi"/>
          <w:color w:val="000000"/>
          <w:sz w:val="22"/>
          <w:szCs w:val="22"/>
        </w:rPr>
        <w:t>Research expectations are similarly high and as a leading research institution a greater emphasis is placed on quality and impact of research rather than simple quantitative output. It is recognised that differences in research output quantity and nature vary vastly between disciplines, even within a single faculty, and may include journal articles, books and monographs, and creative and professional works in those disciplines where peer reviewed written work is not the generally accepted avenue for disseminating research.   There is an expectation of increased national and international impact of research output (e.g. standing of journals or publisher, citation indexes, etc) as staff move through the ranks from lecturer to professor.</w:t>
      </w:r>
    </w:p>
    <w:p w:rsidR="00EA49A1" w:rsidRDefault="00C77E3B" w:rsidP="00C77E3B">
      <w:pPr>
        <w:autoSpaceDE w:val="0"/>
        <w:autoSpaceDN w:val="0"/>
        <w:adjustRightInd w:val="0"/>
        <w:spacing w:before="120" w:after="120" w:line="320" w:lineRule="atLeast"/>
        <w:rPr>
          <w:rFonts w:asciiTheme="minorHAnsi" w:hAnsiTheme="minorHAnsi"/>
          <w:color w:val="000000"/>
          <w:sz w:val="22"/>
          <w:szCs w:val="22"/>
        </w:rPr>
      </w:pPr>
      <w:r w:rsidRPr="00C77E3B">
        <w:rPr>
          <w:rFonts w:asciiTheme="minorHAnsi" w:hAnsiTheme="minorHAnsi"/>
          <w:color w:val="000000"/>
          <w:sz w:val="22"/>
          <w:szCs w:val="22"/>
        </w:rPr>
        <w:t xml:space="preserve">All staff </w:t>
      </w:r>
      <w:proofErr w:type="gramStart"/>
      <w:r w:rsidRPr="00C77E3B">
        <w:rPr>
          <w:rFonts w:asciiTheme="minorHAnsi" w:hAnsiTheme="minorHAnsi"/>
          <w:color w:val="000000"/>
          <w:sz w:val="22"/>
          <w:szCs w:val="22"/>
        </w:rPr>
        <w:t>are</w:t>
      </w:r>
      <w:proofErr w:type="gramEnd"/>
      <w:r w:rsidRPr="00C77E3B">
        <w:rPr>
          <w:rFonts w:asciiTheme="minorHAnsi" w:hAnsiTheme="minorHAnsi"/>
          <w:color w:val="000000"/>
          <w:sz w:val="22"/>
          <w:szCs w:val="22"/>
        </w:rPr>
        <w:t xml:space="preserve"> expected </w:t>
      </w:r>
      <w:r w:rsidR="007F7360">
        <w:rPr>
          <w:rFonts w:asciiTheme="minorHAnsi" w:hAnsiTheme="minorHAnsi"/>
          <w:color w:val="000000"/>
          <w:sz w:val="22"/>
          <w:szCs w:val="22"/>
        </w:rPr>
        <w:t xml:space="preserve">to </w:t>
      </w:r>
      <w:r w:rsidRPr="00C77E3B">
        <w:rPr>
          <w:rFonts w:asciiTheme="minorHAnsi" w:hAnsiTheme="minorHAnsi"/>
          <w:color w:val="000000"/>
          <w:sz w:val="22"/>
          <w:szCs w:val="22"/>
        </w:rPr>
        <w:t>contribute to the administration of the University</w:t>
      </w:r>
      <w:r w:rsidR="007F7360">
        <w:rPr>
          <w:rFonts w:asciiTheme="minorHAnsi" w:hAnsiTheme="minorHAnsi"/>
          <w:color w:val="000000"/>
          <w:sz w:val="22"/>
          <w:szCs w:val="22"/>
        </w:rPr>
        <w:t>,</w:t>
      </w:r>
      <w:r w:rsidRPr="00C77E3B">
        <w:rPr>
          <w:rFonts w:asciiTheme="minorHAnsi" w:hAnsiTheme="minorHAnsi"/>
          <w:color w:val="000000"/>
          <w:sz w:val="22"/>
          <w:szCs w:val="22"/>
        </w:rPr>
        <w:t xml:space="preserve"> with </w:t>
      </w:r>
      <w:r w:rsidR="007F7360">
        <w:rPr>
          <w:rFonts w:asciiTheme="minorHAnsi" w:hAnsiTheme="minorHAnsi"/>
          <w:color w:val="000000"/>
          <w:sz w:val="22"/>
          <w:szCs w:val="22"/>
        </w:rPr>
        <w:t xml:space="preserve">the </w:t>
      </w:r>
      <w:r w:rsidRPr="00C77E3B">
        <w:rPr>
          <w:rFonts w:asciiTheme="minorHAnsi" w:hAnsiTheme="minorHAnsi"/>
          <w:color w:val="000000"/>
          <w:sz w:val="22"/>
          <w:szCs w:val="22"/>
        </w:rPr>
        <w:t xml:space="preserve">level of involvement </w:t>
      </w:r>
      <w:r w:rsidR="007F7360">
        <w:rPr>
          <w:rFonts w:asciiTheme="minorHAnsi" w:hAnsiTheme="minorHAnsi"/>
          <w:color w:val="000000"/>
          <w:sz w:val="22"/>
          <w:szCs w:val="22"/>
        </w:rPr>
        <w:t>and leadership increasing from departmental through to faculty and u</w:t>
      </w:r>
      <w:r w:rsidRPr="00C77E3B">
        <w:rPr>
          <w:rFonts w:asciiTheme="minorHAnsi" w:hAnsiTheme="minorHAnsi"/>
          <w:color w:val="000000"/>
          <w:sz w:val="22"/>
          <w:szCs w:val="22"/>
        </w:rPr>
        <w:t>niversity level</w:t>
      </w:r>
      <w:r w:rsidR="007F7360">
        <w:rPr>
          <w:rFonts w:asciiTheme="minorHAnsi" w:hAnsiTheme="minorHAnsi"/>
          <w:color w:val="000000"/>
          <w:sz w:val="22"/>
          <w:szCs w:val="22"/>
        </w:rPr>
        <w:t xml:space="preserve">s, with progress through </w:t>
      </w:r>
      <w:r w:rsidRPr="00C77E3B">
        <w:rPr>
          <w:rFonts w:asciiTheme="minorHAnsi" w:hAnsiTheme="minorHAnsi"/>
          <w:color w:val="000000"/>
          <w:sz w:val="22"/>
          <w:szCs w:val="22"/>
        </w:rPr>
        <w:t>the ranks from lecturer to professor. At senior ranks a willingness to mentor more junior staff is expected. Efficient c</w:t>
      </w:r>
      <w:r w:rsidR="007F7360">
        <w:rPr>
          <w:rFonts w:asciiTheme="minorHAnsi" w:hAnsiTheme="minorHAnsi"/>
          <w:color w:val="000000"/>
          <w:sz w:val="22"/>
          <w:szCs w:val="22"/>
        </w:rPr>
        <w:t>ourse administration is required</w:t>
      </w:r>
      <w:r w:rsidRPr="00C77E3B">
        <w:rPr>
          <w:rFonts w:asciiTheme="minorHAnsi" w:hAnsiTheme="minorHAnsi"/>
          <w:color w:val="000000"/>
          <w:sz w:val="22"/>
          <w:szCs w:val="22"/>
        </w:rPr>
        <w:t xml:space="preserve"> at all ranks.</w:t>
      </w:r>
      <w:r w:rsidR="00EA49A1">
        <w:rPr>
          <w:rFonts w:asciiTheme="minorHAnsi" w:hAnsiTheme="minorHAnsi"/>
          <w:color w:val="000000"/>
          <w:sz w:val="22"/>
          <w:szCs w:val="22"/>
        </w:rPr>
        <w:t xml:space="preserve"> Staff members at the rank of</w:t>
      </w:r>
      <w:r w:rsidR="007F7360">
        <w:rPr>
          <w:rFonts w:asciiTheme="minorHAnsi" w:hAnsiTheme="minorHAnsi"/>
          <w:color w:val="000000"/>
          <w:sz w:val="22"/>
          <w:szCs w:val="22"/>
        </w:rPr>
        <w:t xml:space="preserve"> full professor are expected to </w:t>
      </w:r>
      <w:r w:rsidR="00EA49A1">
        <w:rPr>
          <w:rFonts w:asciiTheme="minorHAnsi" w:hAnsiTheme="minorHAnsi"/>
          <w:color w:val="000000"/>
          <w:sz w:val="22"/>
          <w:szCs w:val="22"/>
        </w:rPr>
        <w:t>be willing to serve as heads of department if so required.</w:t>
      </w:r>
    </w:p>
    <w:p w:rsidR="00C77E3B" w:rsidRPr="00C77E3B" w:rsidRDefault="00C77E3B" w:rsidP="00C77E3B">
      <w:pPr>
        <w:autoSpaceDE w:val="0"/>
        <w:autoSpaceDN w:val="0"/>
        <w:adjustRightInd w:val="0"/>
        <w:spacing w:before="120" w:after="120" w:line="320" w:lineRule="atLeast"/>
        <w:rPr>
          <w:rFonts w:asciiTheme="minorHAnsi" w:hAnsiTheme="minorHAnsi"/>
          <w:color w:val="000000"/>
          <w:sz w:val="22"/>
          <w:szCs w:val="22"/>
        </w:rPr>
      </w:pPr>
      <w:r w:rsidRPr="00C77E3B">
        <w:rPr>
          <w:rFonts w:asciiTheme="minorHAnsi" w:hAnsiTheme="minorHAnsi"/>
          <w:color w:val="000000"/>
          <w:sz w:val="22"/>
          <w:szCs w:val="22"/>
        </w:rPr>
        <w:t>The demonstration of social responsiveness through teaching and learning, research and/or public service is expected of all academic staff. It is recognised however that some disciplines lend themselves more easily to social responsiveness activities than others, and that these activities vary widely, and do not align in any simple way to academic seniority or rank. For these each faculty must determine the weighting of scores in the social respon</w:t>
      </w:r>
      <w:r w:rsidR="00EA49A1">
        <w:rPr>
          <w:rFonts w:asciiTheme="minorHAnsi" w:hAnsiTheme="minorHAnsi"/>
          <w:color w:val="000000"/>
          <w:sz w:val="22"/>
          <w:szCs w:val="22"/>
        </w:rPr>
        <w:t>siveness category in procedures for performance evaluations</w:t>
      </w:r>
      <w:r w:rsidRPr="00C77E3B">
        <w:rPr>
          <w:rFonts w:asciiTheme="minorHAnsi" w:hAnsiTheme="minorHAnsi"/>
          <w:color w:val="000000"/>
          <w:sz w:val="22"/>
          <w:szCs w:val="22"/>
        </w:rPr>
        <w:t xml:space="preserve">. </w:t>
      </w:r>
    </w:p>
    <w:p w:rsidR="007F7360" w:rsidRDefault="00C77E3B" w:rsidP="00C77E3B">
      <w:pPr>
        <w:autoSpaceDE w:val="0"/>
        <w:autoSpaceDN w:val="0"/>
        <w:adjustRightInd w:val="0"/>
        <w:spacing w:before="120" w:after="120" w:line="320" w:lineRule="atLeast"/>
        <w:rPr>
          <w:rFonts w:asciiTheme="minorHAnsi" w:hAnsiTheme="minorHAnsi"/>
          <w:sz w:val="22"/>
        </w:rPr>
      </w:pPr>
      <w:r w:rsidRPr="00C77E3B">
        <w:rPr>
          <w:rFonts w:asciiTheme="minorHAnsi" w:hAnsiTheme="minorHAnsi"/>
          <w:color w:val="000000"/>
          <w:sz w:val="22"/>
          <w:szCs w:val="22"/>
        </w:rPr>
        <w:t xml:space="preserve">The above captures the general work ethos expected of academic staff at </w:t>
      </w:r>
      <w:proofErr w:type="spellStart"/>
      <w:r w:rsidRPr="00C77E3B">
        <w:rPr>
          <w:rFonts w:asciiTheme="minorHAnsi" w:hAnsiTheme="minorHAnsi"/>
          <w:color w:val="000000"/>
          <w:sz w:val="22"/>
          <w:szCs w:val="22"/>
        </w:rPr>
        <w:t>UCT</w:t>
      </w:r>
      <w:proofErr w:type="spellEnd"/>
      <w:r w:rsidRPr="00C77E3B">
        <w:rPr>
          <w:rFonts w:asciiTheme="minorHAnsi" w:hAnsiTheme="minorHAnsi"/>
          <w:color w:val="000000"/>
          <w:sz w:val="22"/>
          <w:szCs w:val="22"/>
        </w:rPr>
        <w:t xml:space="preserve"> and is expanded on in detail for each rank in the ad hominem</w:t>
      </w:r>
      <w:r w:rsidR="00FD2B76">
        <w:rPr>
          <w:rFonts w:asciiTheme="minorHAnsi" w:hAnsiTheme="minorHAnsi"/>
          <w:color w:val="000000"/>
          <w:sz w:val="22"/>
          <w:szCs w:val="22"/>
        </w:rPr>
        <w:t xml:space="preserve"> promotion guidelines for each f</w:t>
      </w:r>
      <w:r w:rsidRPr="00C77E3B">
        <w:rPr>
          <w:rFonts w:asciiTheme="minorHAnsi" w:hAnsiTheme="minorHAnsi"/>
          <w:color w:val="000000"/>
          <w:sz w:val="22"/>
          <w:szCs w:val="22"/>
        </w:rPr>
        <w:t>aculty. T</w:t>
      </w:r>
      <w:r w:rsidRPr="00C77E3B">
        <w:rPr>
          <w:rFonts w:asciiTheme="minorHAnsi" w:hAnsiTheme="minorHAnsi"/>
          <w:sz w:val="22"/>
          <w:szCs w:val="22"/>
        </w:rPr>
        <w:t>he expected performance level for a member of the academic staff will be based on the criteria used for ad homi</w:t>
      </w:r>
      <w:r w:rsidR="00FD2B76">
        <w:rPr>
          <w:rFonts w:asciiTheme="minorHAnsi" w:hAnsiTheme="minorHAnsi"/>
          <w:sz w:val="22"/>
          <w:szCs w:val="22"/>
        </w:rPr>
        <w:t xml:space="preserve">nem promotions in each faculty, </w:t>
      </w:r>
      <w:r w:rsidRPr="00C77E3B">
        <w:rPr>
          <w:rFonts w:asciiTheme="minorHAnsi" w:hAnsiTheme="minorHAnsi"/>
          <w:sz w:val="22"/>
          <w:szCs w:val="22"/>
        </w:rPr>
        <w:t>using applicable weightings for each category where</w:t>
      </w:r>
      <w:r w:rsidR="00FD2B76">
        <w:rPr>
          <w:rFonts w:asciiTheme="minorHAnsi" w:hAnsiTheme="minorHAnsi"/>
          <w:sz w:val="22"/>
          <w:szCs w:val="22"/>
        </w:rPr>
        <w:t xml:space="preserve"> allowed by the relevant faculty, and taking rank into account</w:t>
      </w:r>
      <w:r w:rsidR="006D1DD5">
        <w:rPr>
          <w:rStyle w:val="FootnoteReference"/>
          <w:rFonts w:asciiTheme="minorHAnsi" w:hAnsiTheme="minorHAnsi"/>
          <w:sz w:val="22"/>
          <w:szCs w:val="22"/>
        </w:rPr>
        <w:footnoteReference w:id="2"/>
      </w:r>
      <w:r w:rsidR="00FD2B76">
        <w:rPr>
          <w:rFonts w:asciiTheme="minorHAnsi" w:hAnsiTheme="minorHAnsi"/>
          <w:sz w:val="22"/>
          <w:szCs w:val="22"/>
        </w:rPr>
        <w:t>.</w:t>
      </w:r>
      <w:r w:rsidRPr="00C77E3B">
        <w:rPr>
          <w:rFonts w:asciiTheme="minorHAnsi" w:hAnsiTheme="minorHAnsi"/>
          <w:sz w:val="22"/>
          <w:szCs w:val="22"/>
        </w:rPr>
        <w:t xml:space="preserve">  An evaluation of performance every four years will be undertaken by the </w:t>
      </w:r>
      <w:r w:rsidR="00EA49A1">
        <w:rPr>
          <w:rFonts w:asciiTheme="minorHAnsi" w:hAnsiTheme="minorHAnsi"/>
          <w:sz w:val="22"/>
          <w:szCs w:val="22"/>
        </w:rPr>
        <w:t xml:space="preserve">head of department or, where requested, by the head and a senior colleague, </w:t>
      </w:r>
      <w:r w:rsidRPr="00C77E3B">
        <w:rPr>
          <w:rFonts w:asciiTheme="minorHAnsi" w:hAnsiTheme="minorHAnsi"/>
          <w:sz w:val="22"/>
          <w:szCs w:val="22"/>
        </w:rPr>
        <w:t>with the member of staff concerned and an aggregate score</w:t>
      </w:r>
      <w:r w:rsidR="00EA49A1">
        <w:rPr>
          <w:rFonts w:asciiTheme="minorHAnsi" w:hAnsiTheme="minorHAnsi"/>
          <w:sz w:val="22"/>
          <w:szCs w:val="22"/>
        </w:rPr>
        <w:t xml:space="preserve"> or range</w:t>
      </w:r>
      <w:r w:rsidRPr="00C77E3B">
        <w:rPr>
          <w:rFonts w:asciiTheme="minorHAnsi" w:hAnsiTheme="minorHAnsi"/>
          <w:sz w:val="22"/>
          <w:szCs w:val="22"/>
        </w:rPr>
        <w:t xml:space="preserve"> calculated.  </w:t>
      </w:r>
      <w:r w:rsidRPr="00C77E3B">
        <w:rPr>
          <w:rFonts w:asciiTheme="minorHAnsi" w:hAnsiTheme="minorHAnsi"/>
          <w:sz w:val="22"/>
        </w:rPr>
        <w:t xml:space="preserve">Non-standard allocation of academic duties based on operational need and agreed in advance by the staff member, </w:t>
      </w:r>
      <w:r w:rsidR="00FD2B76">
        <w:rPr>
          <w:rFonts w:asciiTheme="minorHAnsi" w:hAnsiTheme="minorHAnsi"/>
          <w:sz w:val="22"/>
        </w:rPr>
        <w:t xml:space="preserve">head of department and dean </w:t>
      </w:r>
      <w:r w:rsidRPr="00C77E3B">
        <w:rPr>
          <w:rFonts w:asciiTheme="minorHAnsi" w:hAnsiTheme="minorHAnsi"/>
          <w:sz w:val="22"/>
        </w:rPr>
        <w:t>is possible within this performance management structure for academic staff.  In such cases, the evaluation of performance and sco</w:t>
      </w:r>
      <w:r w:rsidR="00FD2B76">
        <w:rPr>
          <w:rFonts w:asciiTheme="minorHAnsi" w:hAnsiTheme="minorHAnsi"/>
          <w:sz w:val="22"/>
        </w:rPr>
        <w:t xml:space="preserve">res will be based on the agreed set of </w:t>
      </w:r>
      <w:r w:rsidRPr="00C77E3B">
        <w:rPr>
          <w:rFonts w:asciiTheme="minorHAnsi" w:hAnsiTheme="minorHAnsi"/>
          <w:sz w:val="22"/>
        </w:rPr>
        <w:t>duties.</w:t>
      </w:r>
    </w:p>
    <w:p w:rsidR="00FE33BC" w:rsidRDefault="00FE33BC" w:rsidP="00C77E3B">
      <w:pPr>
        <w:autoSpaceDE w:val="0"/>
        <w:autoSpaceDN w:val="0"/>
        <w:adjustRightInd w:val="0"/>
        <w:spacing w:before="120" w:after="120" w:line="320" w:lineRule="atLeast"/>
        <w:rPr>
          <w:rFonts w:asciiTheme="minorHAnsi" w:hAnsiTheme="minorHAnsi"/>
          <w:b/>
          <w:sz w:val="22"/>
        </w:rPr>
      </w:pPr>
    </w:p>
    <w:p w:rsidR="00FE33BC" w:rsidRDefault="00FE33BC" w:rsidP="00C77E3B">
      <w:pPr>
        <w:autoSpaceDE w:val="0"/>
        <w:autoSpaceDN w:val="0"/>
        <w:adjustRightInd w:val="0"/>
        <w:spacing w:before="120" w:after="120" w:line="320" w:lineRule="atLeast"/>
        <w:rPr>
          <w:rFonts w:asciiTheme="minorHAnsi" w:hAnsiTheme="minorHAnsi"/>
          <w:b/>
          <w:sz w:val="22"/>
        </w:rPr>
      </w:pPr>
    </w:p>
    <w:p w:rsidR="007F7360" w:rsidRDefault="007F7360" w:rsidP="00C77E3B">
      <w:pPr>
        <w:autoSpaceDE w:val="0"/>
        <w:autoSpaceDN w:val="0"/>
        <w:adjustRightInd w:val="0"/>
        <w:spacing w:before="120" w:after="120" w:line="320" w:lineRule="atLeast"/>
        <w:rPr>
          <w:rFonts w:asciiTheme="minorHAnsi" w:hAnsiTheme="minorHAnsi"/>
          <w:b/>
          <w:sz w:val="22"/>
        </w:rPr>
      </w:pPr>
      <w:r>
        <w:rPr>
          <w:rFonts w:asciiTheme="minorHAnsi" w:hAnsiTheme="minorHAnsi"/>
          <w:b/>
          <w:sz w:val="22"/>
        </w:rPr>
        <w:t>Performance levels</w:t>
      </w:r>
    </w:p>
    <w:p w:rsidR="007F7360" w:rsidRDefault="007F7360" w:rsidP="00C77E3B">
      <w:pPr>
        <w:autoSpaceDE w:val="0"/>
        <w:autoSpaceDN w:val="0"/>
        <w:adjustRightInd w:val="0"/>
        <w:spacing w:before="120" w:after="120" w:line="320" w:lineRule="atLeast"/>
        <w:rPr>
          <w:rFonts w:asciiTheme="minorHAnsi" w:hAnsiTheme="minorHAnsi"/>
          <w:sz w:val="22"/>
        </w:rPr>
      </w:pPr>
      <w:r>
        <w:rPr>
          <w:rFonts w:asciiTheme="minorHAnsi" w:hAnsiTheme="minorHAnsi"/>
          <w:sz w:val="22"/>
        </w:rPr>
        <w:t>There are three major categories of staff performance:</w:t>
      </w:r>
    </w:p>
    <w:p w:rsidR="007F7360" w:rsidRDefault="007F7360" w:rsidP="00C77E3B">
      <w:pPr>
        <w:autoSpaceDE w:val="0"/>
        <w:autoSpaceDN w:val="0"/>
        <w:adjustRightInd w:val="0"/>
        <w:spacing w:before="120" w:after="120" w:line="320" w:lineRule="atLeast"/>
        <w:rPr>
          <w:rFonts w:asciiTheme="minorHAnsi" w:hAnsiTheme="minorHAnsi"/>
          <w:sz w:val="22"/>
        </w:rPr>
      </w:pPr>
      <w:r w:rsidRPr="007F7360">
        <w:rPr>
          <w:rFonts w:asciiTheme="minorHAnsi" w:hAnsiTheme="minorHAnsi"/>
          <w:b/>
          <w:sz w:val="22"/>
        </w:rPr>
        <w:t>Expected performance</w:t>
      </w:r>
      <w:r>
        <w:rPr>
          <w:rFonts w:asciiTheme="minorHAnsi" w:hAnsiTheme="minorHAnsi"/>
          <w:sz w:val="22"/>
        </w:rPr>
        <w:t>, in the case of staff meeting expectations</w:t>
      </w:r>
      <w:r w:rsidR="007A1511">
        <w:rPr>
          <w:rFonts w:asciiTheme="minorHAnsi" w:hAnsiTheme="minorHAnsi"/>
          <w:sz w:val="22"/>
        </w:rPr>
        <w:t>;</w:t>
      </w:r>
    </w:p>
    <w:p w:rsidR="00FF1E87" w:rsidRDefault="00FF1E87" w:rsidP="00FF1E87">
      <w:pPr>
        <w:autoSpaceDE w:val="0"/>
        <w:autoSpaceDN w:val="0"/>
        <w:adjustRightInd w:val="0"/>
        <w:spacing w:before="120" w:after="120" w:line="320" w:lineRule="atLeast"/>
        <w:rPr>
          <w:rFonts w:asciiTheme="minorHAnsi" w:hAnsiTheme="minorHAnsi"/>
          <w:sz w:val="22"/>
        </w:rPr>
      </w:pPr>
      <w:r w:rsidRPr="007F7360">
        <w:rPr>
          <w:rFonts w:asciiTheme="minorHAnsi" w:hAnsiTheme="minorHAnsi"/>
          <w:b/>
          <w:sz w:val="22"/>
        </w:rPr>
        <w:t>Un</w:t>
      </w:r>
      <w:r>
        <w:rPr>
          <w:rFonts w:asciiTheme="minorHAnsi" w:hAnsiTheme="minorHAnsi"/>
          <w:b/>
          <w:sz w:val="22"/>
        </w:rPr>
        <w:t xml:space="preserve">der-performance </w:t>
      </w:r>
      <w:r>
        <w:rPr>
          <w:rFonts w:asciiTheme="minorHAnsi" w:hAnsiTheme="minorHAnsi"/>
          <w:sz w:val="22"/>
        </w:rPr>
        <w:t>refers to performance below the desired standard for the rank of the staff member. Under-performance which is not remedied once identified may be deemed in d</w:t>
      </w:r>
      <w:r w:rsidR="007A1511">
        <w:rPr>
          <w:rFonts w:asciiTheme="minorHAnsi" w:hAnsiTheme="minorHAnsi"/>
          <w:sz w:val="22"/>
        </w:rPr>
        <w:t>ue course to be unsatisfactory;</w:t>
      </w:r>
    </w:p>
    <w:p w:rsidR="007A1511" w:rsidRDefault="007A1511" w:rsidP="007A1511">
      <w:pPr>
        <w:autoSpaceDE w:val="0"/>
        <w:autoSpaceDN w:val="0"/>
        <w:adjustRightInd w:val="0"/>
        <w:spacing w:before="120" w:after="120" w:line="320" w:lineRule="atLeast"/>
        <w:rPr>
          <w:rFonts w:asciiTheme="minorHAnsi" w:hAnsiTheme="minorHAnsi"/>
          <w:sz w:val="22"/>
        </w:rPr>
      </w:pPr>
      <w:r>
        <w:rPr>
          <w:rFonts w:asciiTheme="minorHAnsi" w:hAnsiTheme="minorHAnsi"/>
          <w:b/>
          <w:sz w:val="22"/>
        </w:rPr>
        <w:t xml:space="preserve">Unsatisfactory </w:t>
      </w:r>
      <w:r w:rsidRPr="007F7360">
        <w:rPr>
          <w:rFonts w:asciiTheme="minorHAnsi" w:hAnsiTheme="minorHAnsi"/>
          <w:b/>
          <w:sz w:val="22"/>
        </w:rPr>
        <w:t>performanc</w:t>
      </w:r>
      <w:r>
        <w:rPr>
          <w:rFonts w:asciiTheme="minorHAnsi" w:hAnsiTheme="minorHAnsi"/>
          <w:b/>
          <w:sz w:val="22"/>
        </w:rPr>
        <w:t xml:space="preserve">e </w:t>
      </w:r>
      <w:r>
        <w:rPr>
          <w:rFonts w:asciiTheme="minorHAnsi" w:hAnsiTheme="minorHAnsi"/>
          <w:sz w:val="22"/>
        </w:rPr>
        <w:t xml:space="preserve">refers to performance that is clearly below the level acceptable </w:t>
      </w:r>
      <w:r w:rsidR="005A0F37">
        <w:rPr>
          <w:rFonts w:asciiTheme="minorHAnsi" w:hAnsiTheme="minorHAnsi"/>
          <w:sz w:val="22"/>
        </w:rPr>
        <w:t>for</w:t>
      </w:r>
      <w:r>
        <w:rPr>
          <w:rFonts w:asciiTheme="minorHAnsi" w:hAnsiTheme="minorHAnsi"/>
          <w:sz w:val="22"/>
        </w:rPr>
        <w:t xml:space="preserve"> the rank of the staff member.  </w:t>
      </w:r>
    </w:p>
    <w:p w:rsidR="00FE33BC" w:rsidRDefault="00FF1E87" w:rsidP="00FE33BC">
      <w:pPr>
        <w:autoSpaceDE w:val="0"/>
        <w:autoSpaceDN w:val="0"/>
        <w:adjustRightInd w:val="0"/>
        <w:spacing w:before="120" w:after="120" w:line="320" w:lineRule="atLeast"/>
        <w:rPr>
          <w:rFonts w:asciiTheme="minorHAnsi" w:hAnsiTheme="minorHAnsi"/>
          <w:sz w:val="22"/>
        </w:rPr>
      </w:pPr>
      <w:r>
        <w:rPr>
          <w:rFonts w:asciiTheme="minorHAnsi" w:hAnsiTheme="minorHAnsi"/>
          <w:sz w:val="22"/>
        </w:rPr>
        <w:t>In the case of both under- and unsatisfactory performance, staff in these categories will be subject to improvement plans with the aim of achieving performance levels by a designated time.</w:t>
      </w:r>
      <w:r w:rsidR="00FE33BC">
        <w:rPr>
          <w:rFonts w:asciiTheme="minorHAnsi" w:hAnsiTheme="minorHAnsi"/>
          <w:sz w:val="22"/>
        </w:rPr>
        <w:t xml:space="preserve"> In addition, staff members whose performance is deemed unsatisfactory will be subject to the poor performance procedures of the university.</w:t>
      </w:r>
    </w:p>
    <w:p w:rsidR="00FD2B76" w:rsidRDefault="00FD2B76" w:rsidP="00FE33BC">
      <w:pPr>
        <w:autoSpaceDE w:val="0"/>
        <w:autoSpaceDN w:val="0"/>
        <w:adjustRightInd w:val="0"/>
        <w:spacing w:before="120" w:after="120" w:line="320" w:lineRule="atLeast"/>
        <w:rPr>
          <w:rFonts w:asciiTheme="minorHAnsi" w:hAnsiTheme="minorHAnsi"/>
          <w:b/>
          <w:smallCaps/>
        </w:rPr>
      </w:pPr>
    </w:p>
    <w:p w:rsidR="00C77E3B" w:rsidRPr="00FD2B76" w:rsidRDefault="00FD2B76" w:rsidP="00C77E3B">
      <w:pPr>
        <w:autoSpaceDE w:val="0"/>
        <w:autoSpaceDN w:val="0"/>
        <w:adjustRightInd w:val="0"/>
        <w:spacing w:before="120" w:after="120" w:line="320" w:lineRule="atLeast"/>
        <w:rPr>
          <w:rFonts w:asciiTheme="minorHAnsi" w:hAnsiTheme="minorHAnsi"/>
          <w:b/>
          <w:i/>
          <w:smallCaps/>
        </w:rPr>
      </w:pPr>
      <w:r w:rsidRPr="00FD2B76">
        <w:rPr>
          <w:rFonts w:asciiTheme="minorHAnsi" w:hAnsiTheme="minorHAnsi"/>
          <w:b/>
          <w:smallCaps/>
        </w:rPr>
        <w:t>Faculty-specific performance criteria</w:t>
      </w:r>
    </w:p>
    <w:p w:rsidR="00FE33BC" w:rsidRDefault="00FE33BC" w:rsidP="00C77E3B">
      <w:pPr>
        <w:rPr>
          <w:rFonts w:asciiTheme="minorHAnsi" w:hAnsiTheme="minorHAnsi"/>
          <w:b/>
          <w:sz w:val="22"/>
          <w:szCs w:val="22"/>
        </w:rPr>
      </w:pPr>
    </w:p>
    <w:p w:rsidR="00C77E3B" w:rsidRDefault="00FD2B76" w:rsidP="00C77E3B">
      <w:pPr>
        <w:rPr>
          <w:rFonts w:asciiTheme="minorHAnsi" w:hAnsiTheme="minorHAnsi"/>
          <w:b/>
          <w:sz w:val="22"/>
          <w:szCs w:val="22"/>
        </w:rPr>
      </w:pPr>
      <w:r w:rsidRPr="00FD2B76">
        <w:rPr>
          <w:rFonts w:asciiTheme="minorHAnsi" w:hAnsiTheme="minorHAnsi"/>
          <w:b/>
          <w:sz w:val="22"/>
          <w:szCs w:val="22"/>
        </w:rPr>
        <w:t>Note: these criteria are to be read in</w:t>
      </w:r>
      <w:r>
        <w:rPr>
          <w:rFonts w:asciiTheme="minorHAnsi" w:hAnsiTheme="minorHAnsi"/>
          <w:b/>
          <w:sz w:val="22"/>
          <w:szCs w:val="22"/>
        </w:rPr>
        <w:t xml:space="preserve"> </w:t>
      </w:r>
      <w:r w:rsidRPr="00FD2B76">
        <w:rPr>
          <w:rFonts w:asciiTheme="minorHAnsi" w:hAnsiTheme="minorHAnsi"/>
          <w:b/>
          <w:sz w:val="22"/>
          <w:szCs w:val="22"/>
        </w:rPr>
        <w:t>conjunction with the ad hominem promotion criteria for the faculty concerned</w:t>
      </w:r>
      <w:r w:rsidR="001C4FB8">
        <w:rPr>
          <w:rFonts w:asciiTheme="minorHAnsi" w:hAnsiTheme="minorHAnsi"/>
          <w:b/>
          <w:sz w:val="22"/>
          <w:szCs w:val="22"/>
        </w:rPr>
        <w:t>.</w:t>
      </w:r>
    </w:p>
    <w:p w:rsidR="001C4FB8" w:rsidRPr="00FD2B76" w:rsidRDefault="001C4FB8" w:rsidP="00DE5D98">
      <w:pPr>
        <w:spacing w:line="320" w:lineRule="atLeast"/>
        <w:rPr>
          <w:rFonts w:asciiTheme="minorHAnsi" w:hAnsiTheme="minorHAnsi"/>
          <w:b/>
          <w:sz w:val="22"/>
          <w:szCs w:val="22"/>
        </w:rPr>
      </w:pPr>
      <w:r w:rsidRPr="004D1436">
        <w:rPr>
          <w:rFonts w:asciiTheme="minorHAnsi" w:hAnsiTheme="minorHAnsi" w:cs="Arial"/>
          <w:sz w:val="22"/>
          <w:szCs w:val="20"/>
        </w:rPr>
        <w:t xml:space="preserve">Heads of Department may negotiate with individual staff members, in consultation with the dean, to vary the minima for teaching and research in order to meet temporary departmental operational requirements. In these cases the </w:t>
      </w:r>
      <w:r w:rsidR="00202572" w:rsidRPr="004D1436">
        <w:rPr>
          <w:rFonts w:asciiTheme="minorHAnsi" w:hAnsiTheme="minorHAnsi" w:cs="Arial"/>
          <w:sz w:val="22"/>
          <w:szCs w:val="20"/>
        </w:rPr>
        <w:t>criteria for an</w:t>
      </w:r>
      <w:r w:rsidRPr="004D1436">
        <w:rPr>
          <w:rFonts w:asciiTheme="minorHAnsi" w:hAnsiTheme="minorHAnsi" w:cs="Arial"/>
          <w:sz w:val="22"/>
          <w:szCs w:val="20"/>
        </w:rPr>
        <w:t xml:space="preserve"> expected </w:t>
      </w:r>
      <w:r w:rsidR="00202572" w:rsidRPr="004D1436">
        <w:rPr>
          <w:rFonts w:asciiTheme="minorHAnsi" w:hAnsiTheme="minorHAnsi" w:cs="Arial"/>
          <w:sz w:val="22"/>
          <w:szCs w:val="20"/>
        </w:rPr>
        <w:t xml:space="preserve">level of </w:t>
      </w:r>
      <w:r w:rsidRPr="004D1436">
        <w:rPr>
          <w:rFonts w:asciiTheme="minorHAnsi" w:hAnsiTheme="minorHAnsi" w:cs="Arial"/>
          <w:sz w:val="22"/>
          <w:szCs w:val="20"/>
        </w:rPr>
        <w:t xml:space="preserve">performance must be clarified </w:t>
      </w:r>
      <w:r w:rsidR="00202572" w:rsidRPr="004D1436">
        <w:rPr>
          <w:rFonts w:asciiTheme="minorHAnsi" w:hAnsiTheme="minorHAnsi" w:cs="Arial"/>
          <w:sz w:val="22"/>
          <w:szCs w:val="20"/>
        </w:rPr>
        <w:t xml:space="preserve">upfront </w:t>
      </w:r>
      <w:r w:rsidRPr="004D1436">
        <w:rPr>
          <w:rFonts w:asciiTheme="minorHAnsi" w:hAnsiTheme="minorHAnsi" w:cs="Arial"/>
          <w:sz w:val="22"/>
          <w:szCs w:val="20"/>
        </w:rPr>
        <w:t>with the staff member involved</w:t>
      </w:r>
      <w:r w:rsidR="00202572" w:rsidRPr="004D1436">
        <w:rPr>
          <w:rFonts w:asciiTheme="minorHAnsi" w:hAnsiTheme="minorHAnsi" w:cs="Arial"/>
          <w:sz w:val="22"/>
          <w:szCs w:val="20"/>
        </w:rPr>
        <w:t xml:space="preserve"> and signed off by the </w:t>
      </w:r>
      <w:proofErr w:type="spellStart"/>
      <w:r w:rsidR="00202572" w:rsidRPr="004D1436">
        <w:rPr>
          <w:rFonts w:asciiTheme="minorHAnsi" w:hAnsiTheme="minorHAnsi" w:cs="Arial"/>
          <w:sz w:val="22"/>
          <w:szCs w:val="20"/>
        </w:rPr>
        <w:t>HoD</w:t>
      </w:r>
      <w:proofErr w:type="spellEnd"/>
      <w:r w:rsidR="00202572" w:rsidRPr="004D1436">
        <w:rPr>
          <w:rFonts w:asciiTheme="minorHAnsi" w:hAnsiTheme="minorHAnsi" w:cs="Arial"/>
          <w:sz w:val="22"/>
          <w:szCs w:val="20"/>
        </w:rPr>
        <w:t xml:space="preserve"> and Dean</w:t>
      </w:r>
      <w:r w:rsidR="004D1436" w:rsidRPr="004D1436">
        <w:rPr>
          <w:rFonts w:asciiTheme="minorHAnsi" w:hAnsiTheme="minorHAnsi" w:cs="Arial"/>
          <w:sz w:val="22"/>
          <w:szCs w:val="20"/>
        </w:rPr>
        <w:t>.</w:t>
      </w:r>
    </w:p>
    <w:p w:rsidR="00EA49A1" w:rsidRDefault="00EA49A1" w:rsidP="00C77E3B">
      <w:pPr>
        <w:rPr>
          <w:rFonts w:asciiTheme="minorHAnsi" w:hAnsiTheme="minorHAnsi"/>
          <w:b/>
          <w:sz w:val="22"/>
          <w:szCs w:val="22"/>
          <w:u w:val="single"/>
        </w:rPr>
      </w:pPr>
    </w:p>
    <w:p w:rsidR="00FF1E87" w:rsidRPr="00FD2B76" w:rsidRDefault="00FF1E87" w:rsidP="00FF1E87">
      <w:pPr>
        <w:rPr>
          <w:rFonts w:asciiTheme="minorHAnsi" w:hAnsiTheme="minorHAnsi"/>
          <w:b/>
          <w:szCs w:val="22"/>
        </w:rPr>
      </w:pPr>
      <w:r>
        <w:rPr>
          <w:rFonts w:asciiTheme="minorHAnsi" w:hAnsiTheme="minorHAnsi"/>
          <w:b/>
          <w:szCs w:val="22"/>
        </w:rPr>
        <w:t>Centre for Higher Education and Development</w:t>
      </w:r>
    </w:p>
    <w:p w:rsidR="0022379E" w:rsidRPr="0022379E" w:rsidRDefault="0022379E" w:rsidP="0022379E">
      <w:pPr>
        <w:widowControl w:val="0"/>
        <w:autoSpaceDE w:val="0"/>
        <w:autoSpaceDN w:val="0"/>
        <w:adjustRightInd w:val="0"/>
        <w:rPr>
          <w:rFonts w:asciiTheme="minorHAnsi" w:eastAsiaTheme="minorHAnsi" w:hAnsiTheme="minorHAnsi" w:cs="Tahoma"/>
          <w:sz w:val="22"/>
          <w:szCs w:val="26"/>
          <w:lang w:val="en-US" w:eastAsia="en-US"/>
        </w:rPr>
      </w:pPr>
      <w:r w:rsidRPr="0022379E">
        <w:rPr>
          <w:rFonts w:asciiTheme="minorHAnsi" w:eastAsiaTheme="minorHAnsi" w:hAnsiTheme="minorHAnsi" w:cs="Verdana"/>
          <w:sz w:val="22"/>
          <w:szCs w:val="26"/>
          <w:lang w:val="en-US" w:eastAsia="en-US"/>
        </w:rPr>
        <w:t> </w:t>
      </w:r>
    </w:p>
    <w:p w:rsidR="0022379E" w:rsidRPr="0022379E" w:rsidRDefault="0022379E" w:rsidP="00DE5D98">
      <w:pPr>
        <w:spacing w:line="320" w:lineRule="atLeast"/>
        <w:rPr>
          <w:rFonts w:asciiTheme="minorHAnsi" w:eastAsiaTheme="minorHAnsi" w:hAnsiTheme="minorHAnsi" w:cs="Tahoma"/>
          <w:sz w:val="22"/>
          <w:szCs w:val="26"/>
          <w:lang w:val="en-US" w:eastAsia="en-US"/>
        </w:rPr>
      </w:pPr>
      <w:r w:rsidRPr="0022379E">
        <w:rPr>
          <w:rFonts w:asciiTheme="minorHAnsi" w:eastAsiaTheme="minorHAnsi" w:hAnsiTheme="minorHAnsi" w:cs="Verdana"/>
          <w:sz w:val="22"/>
          <w:szCs w:val="26"/>
          <w:lang w:val="en-US" w:eastAsia="en-US"/>
        </w:rPr>
        <w:t xml:space="preserve">Staff in any rank will under normal circumstances </w:t>
      </w:r>
      <w:r w:rsidR="002E39DE">
        <w:rPr>
          <w:rFonts w:asciiTheme="minorHAnsi" w:eastAsiaTheme="minorHAnsi" w:hAnsiTheme="minorHAnsi" w:cs="Verdana"/>
          <w:sz w:val="22"/>
          <w:szCs w:val="26"/>
          <w:lang w:val="en-US" w:eastAsia="en-US"/>
        </w:rPr>
        <w:t xml:space="preserve">be </w:t>
      </w:r>
      <w:r w:rsidRPr="0022379E">
        <w:rPr>
          <w:rFonts w:asciiTheme="minorHAnsi" w:eastAsiaTheme="minorHAnsi" w:hAnsiTheme="minorHAnsi" w:cs="Verdana"/>
          <w:sz w:val="22"/>
          <w:szCs w:val="26"/>
          <w:lang w:val="en-US" w:eastAsia="en-US"/>
        </w:rPr>
        <w:t xml:space="preserve">deemed to be </w:t>
      </w:r>
      <w:r w:rsidR="002E39DE">
        <w:rPr>
          <w:rFonts w:asciiTheme="minorHAnsi" w:eastAsiaTheme="minorHAnsi" w:hAnsiTheme="minorHAnsi" w:cs="Verdana"/>
          <w:sz w:val="22"/>
          <w:szCs w:val="26"/>
          <w:lang w:val="en-US" w:eastAsia="en-US"/>
        </w:rPr>
        <w:t xml:space="preserve">performing at </w:t>
      </w:r>
      <w:r w:rsidR="002E39DE" w:rsidRPr="002E39DE">
        <w:rPr>
          <w:rFonts w:asciiTheme="minorHAnsi" w:eastAsiaTheme="minorHAnsi" w:hAnsiTheme="minorHAnsi" w:cs="Verdana"/>
          <w:b/>
          <w:sz w:val="22"/>
          <w:szCs w:val="26"/>
          <w:lang w:val="en-US" w:eastAsia="en-US"/>
        </w:rPr>
        <w:t>expected</w:t>
      </w:r>
      <w:r w:rsidR="002E39DE">
        <w:rPr>
          <w:rFonts w:asciiTheme="minorHAnsi" w:eastAsiaTheme="minorHAnsi" w:hAnsiTheme="minorHAnsi" w:cs="Verdana"/>
          <w:sz w:val="22"/>
          <w:szCs w:val="26"/>
          <w:lang w:val="en-US" w:eastAsia="en-US"/>
        </w:rPr>
        <w:t xml:space="preserve"> levels</w:t>
      </w:r>
      <w:r w:rsidRPr="0022379E">
        <w:rPr>
          <w:rFonts w:asciiTheme="minorHAnsi" w:eastAsiaTheme="minorHAnsi" w:hAnsiTheme="minorHAnsi" w:cs="Verdana"/>
          <w:sz w:val="22"/>
          <w:szCs w:val="26"/>
          <w:lang w:val="en-US" w:eastAsia="en-US"/>
        </w:rPr>
        <w:t xml:space="preserve"> if they meet the criteria for </w:t>
      </w:r>
      <w:r w:rsidR="002E39DE">
        <w:rPr>
          <w:rFonts w:asciiTheme="minorHAnsi" w:eastAsiaTheme="minorHAnsi" w:hAnsiTheme="minorHAnsi" w:cs="Verdana"/>
          <w:sz w:val="22"/>
          <w:szCs w:val="26"/>
          <w:lang w:val="en-US" w:eastAsia="en-US"/>
        </w:rPr>
        <w:t>e</w:t>
      </w:r>
      <w:r w:rsidRPr="0022379E">
        <w:rPr>
          <w:rFonts w:asciiTheme="minorHAnsi" w:eastAsiaTheme="minorHAnsi" w:hAnsiTheme="minorHAnsi" w:cs="Verdana"/>
          <w:sz w:val="22"/>
          <w:szCs w:val="26"/>
          <w:lang w:val="en-US" w:eastAsia="en-US"/>
        </w:rPr>
        <w:t xml:space="preserve">xpected </w:t>
      </w:r>
      <w:r w:rsidR="002E39DE">
        <w:rPr>
          <w:rFonts w:asciiTheme="minorHAnsi" w:eastAsiaTheme="minorHAnsi" w:hAnsiTheme="minorHAnsi" w:cs="Verdana"/>
          <w:sz w:val="22"/>
          <w:szCs w:val="26"/>
          <w:lang w:val="en-US" w:eastAsia="en-US"/>
        </w:rPr>
        <w:t>p</w:t>
      </w:r>
      <w:r w:rsidRPr="0022379E">
        <w:rPr>
          <w:rFonts w:asciiTheme="minorHAnsi" w:eastAsiaTheme="minorHAnsi" w:hAnsiTheme="minorHAnsi" w:cs="Verdana"/>
          <w:sz w:val="22"/>
          <w:szCs w:val="26"/>
          <w:lang w:val="en-US" w:eastAsia="en-US"/>
        </w:rPr>
        <w:t xml:space="preserve">erformance (or higher) for both </w:t>
      </w:r>
      <w:r w:rsidR="002E39DE">
        <w:rPr>
          <w:rFonts w:asciiTheme="minorHAnsi" w:eastAsiaTheme="minorHAnsi" w:hAnsiTheme="minorHAnsi" w:cs="Verdana"/>
          <w:sz w:val="22"/>
          <w:szCs w:val="26"/>
          <w:lang w:val="en-US" w:eastAsia="en-US"/>
        </w:rPr>
        <w:t>c</w:t>
      </w:r>
      <w:r w:rsidRPr="0022379E">
        <w:rPr>
          <w:rFonts w:asciiTheme="minorHAnsi" w:eastAsiaTheme="minorHAnsi" w:hAnsiTheme="minorHAnsi" w:cs="Verdana"/>
          <w:sz w:val="22"/>
          <w:szCs w:val="26"/>
          <w:lang w:val="en-US" w:eastAsia="en-US"/>
        </w:rPr>
        <w:t xml:space="preserve">ontributions to </w:t>
      </w:r>
      <w:r w:rsidR="005A0F37">
        <w:rPr>
          <w:rFonts w:asciiTheme="minorHAnsi" w:eastAsiaTheme="minorHAnsi" w:hAnsiTheme="minorHAnsi" w:cs="Verdana"/>
          <w:sz w:val="22"/>
          <w:szCs w:val="26"/>
          <w:lang w:val="en-US" w:eastAsia="en-US"/>
        </w:rPr>
        <w:t>t</w:t>
      </w:r>
      <w:r w:rsidRPr="0022379E">
        <w:rPr>
          <w:rFonts w:asciiTheme="minorHAnsi" w:eastAsiaTheme="minorHAnsi" w:hAnsiTheme="minorHAnsi" w:cs="Verdana"/>
          <w:sz w:val="22"/>
          <w:szCs w:val="26"/>
          <w:lang w:val="en-US" w:eastAsia="en-US"/>
        </w:rPr>
        <w:t xml:space="preserve">eaching &amp; </w:t>
      </w:r>
      <w:r w:rsidR="005A0F37">
        <w:rPr>
          <w:rFonts w:asciiTheme="minorHAnsi" w:eastAsiaTheme="minorHAnsi" w:hAnsiTheme="minorHAnsi" w:cs="Verdana"/>
          <w:sz w:val="22"/>
          <w:szCs w:val="26"/>
          <w:lang w:val="en-US" w:eastAsia="en-US"/>
        </w:rPr>
        <w:t>l</w:t>
      </w:r>
      <w:r w:rsidRPr="0022379E">
        <w:rPr>
          <w:rFonts w:asciiTheme="minorHAnsi" w:eastAsiaTheme="minorHAnsi" w:hAnsiTheme="minorHAnsi" w:cs="Verdana"/>
          <w:sz w:val="22"/>
          <w:szCs w:val="26"/>
          <w:lang w:val="en-US" w:eastAsia="en-US"/>
        </w:rPr>
        <w:t xml:space="preserve">earning and </w:t>
      </w:r>
      <w:r w:rsidR="005A0F37">
        <w:rPr>
          <w:rFonts w:asciiTheme="minorHAnsi" w:eastAsiaTheme="minorHAnsi" w:hAnsiTheme="minorHAnsi" w:cs="Verdana"/>
          <w:sz w:val="22"/>
          <w:szCs w:val="26"/>
          <w:lang w:val="en-US" w:eastAsia="en-US"/>
        </w:rPr>
        <w:t>r</w:t>
      </w:r>
      <w:r w:rsidRPr="0022379E">
        <w:rPr>
          <w:rFonts w:asciiTheme="minorHAnsi" w:eastAsiaTheme="minorHAnsi" w:hAnsiTheme="minorHAnsi" w:cs="Verdana"/>
          <w:sz w:val="22"/>
          <w:szCs w:val="26"/>
          <w:lang w:val="en-US" w:eastAsia="en-US"/>
        </w:rPr>
        <w:t>esearch, and for one of the other categories.</w:t>
      </w:r>
    </w:p>
    <w:p w:rsidR="0022379E" w:rsidRPr="0022379E" w:rsidRDefault="0022379E" w:rsidP="00DE5D98">
      <w:pPr>
        <w:spacing w:line="320" w:lineRule="atLeast"/>
        <w:rPr>
          <w:rFonts w:asciiTheme="minorHAnsi" w:eastAsiaTheme="minorHAnsi" w:hAnsiTheme="minorHAnsi" w:cs="Tahoma"/>
          <w:sz w:val="22"/>
          <w:szCs w:val="26"/>
          <w:lang w:val="en-US" w:eastAsia="en-US"/>
        </w:rPr>
      </w:pPr>
      <w:r w:rsidRPr="0022379E">
        <w:rPr>
          <w:rFonts w:asciiTheme="minorHAnsi" w:eastAsiaTheme="minorHAnsi" w:hAnsiTheme="minorHAnsi" w:cs="Verdana"/>
          <w:sz w:val="22"/>
          <w:szCs w:val="26"/>
          <w:lang w:val="en-US" w:eastAsia="en-US"/>
        </w:rPr>
        <w:t> </w:t>
      </w:r>
    </w:p>
    <w:p w:rsidR="0022379E" w:rsidRPr="0022379E" w:rsidRDefault="0022379E" w:rsidP="00DE5D98">
      <w:pPr>
        <w:spacing w:line="320" w:lineRule="atLeast"/>
        <w:rPr>
          <w:rFonts w:asciiTheme="minorHAnsi" w:eastAsiaTheme="minorHAnsi" w:hAnsiTheme="minorHAnsi" w:cs="Tahoma"/>
          <w:sz w:val="22"/>
          <w:szCs w:val="26"/>
          <w:lang w:val="en-US" w:eastAsia="en-US"/>
        </w:rPr>
      </w:pPr>
      <w:proofErr w:type="gramStart"/>
      <w:r w:rsidRPr="0022379E">
        <w:rPr>
          <w:rFonts w:asciiTheme="minorHAnsi" w:eastAsiaTheme="minorHAnsi" w:hAnsiTheme="minorHAnsi" w:cs="Verdana"/>
          <w:sz w:val="22"/>
          <w:szCs w:val="26"/>
          <w:lang w:val="en-US" w:eastAsia="en-US"/>
        </w:rPr>
        <w:t>Staff</w:t>
      </w:r>
      <w:proofErr w:type="gramEnd"/>
      <w:r w:rsidRPr="0022379E">
        <w:rPr>
          <w:rFonts w:asciiTheme="minorHAnsi" w:eastAsiaTheme="minorHAnsi" w:hAnsiTheme="minorHAnsi" w:cs="Verdana"/>
          <w:sz w:val="22"/>
          <w:szCs w:val="26"/>
          <w:lang w:val="en-US" w:eastAsia="en-US"/>
        </w:rPr>
        <w:t xml:space="preserve"> who fail to meet the criteria for </w:t>
      </w:r>
      <w:r w:rsidR="007A1511">
        <w:rPr>
          <w:rFonts w:asciiTheme="minorHAnsi" w:eastAsiaTheme="minorHAnsi" w:hAnsiTheme="minorHAnsi" w:cs="Verdana"/>
          <w:sz w:val="22"/>
          <w:szCs w:val="26"/>
          <w:lang w:val="en-US" w:eastAsia="en-US"/>
        </w:rPr>
        <w:t>e</w:t>
      </w:r>
      <w:r w:rsidRPr="0022379E">
        <w:rPr>
          <w:rFonts w:asciiTheme="minorHAnsi" w:eastAsiaTheme="minorHAnsi" w:hAnsiTheme="minorHAnsi" w:cs="Verdana"/>
          <w:sz w:val="22"/>
          <w:szCs w:val="26"/>
          <w:lang w:val="en-US" w:eastAsia="en-US"/>
        </w:rPr>
        <w:t xml:space="preserve">xpected </w:t>
      </w:r>
      <w:r w:rsidR="007A1511">
        <w:rPr>
          <w:rFonts w:asciiTheme="minorHAnsi" w:eastAsiaTheme="minorHAnsi" w:hAnsiTheme="minorHAnsi" w:cs="Verdana"/>
          <w:sz w:val="22"/>
          <w:szCs w:val="26"/>
          <w:lang w:val="en-US" w:eastAsia="en-US"/>
        </w:rPr>
        <w:t>p</w:t>
      </w:r>
      <w:r w:rsidRPr="0022379E">
        <w:rPr>
          <w:rFonts w:asciiTheme="minorHAnsi" w:eastAsiaTheme="minorHAnsi" w:hAnsiTheme="minorHAnsi" w:cs="Verdana"/>
          <w:sz w:val="22"/>
          <w:szCs w:val="26"/>
          <w:lang w:val="en-US" w:eastAsia="en-US"/>
        </w:rPr>
        <w:t xml:space="preserve">erformance for either </w:t>
      </w:r>
      <w:r w:rsidR="007A1511">
        <w:rPr>
          <w:rFonts w:asciiTheme="minorHAnsi" w:eastAsiaTheme="minorHAnsi" w:hAnsiTheme="minorHAnsi" w:cs="Verdana"/>
          <w:sz w:val="22"/>
          <w:szCs w:val="26"/>
          <w:lang w:val="en-US" w:eastAsia="en-US"/>
        </w:rPr>
        <w:t>c</w:t>
      </w:r>
      <w:r w:rsidRPr="0022379E">
        <w:rPr>
          <w:rFonts w:asciiTheme="minorHAnsi" w:eastAsiaTheme="minorHAnsi" w:hAnsiTheme="minorHAnsi" w:cs="Verdana"/>
          <w:sz w:val="22"/>
          <w:szCs w:val="26"/>
          <w:lang w:val="en-US" w:eastAsia="en-US"/>
        </w:rPr>
        <w:t xml:space="preserve">ontributions to </w:t>
      </w:r>
      <w:r w:rsidR="005A0F37">
        <w:rPr>
          <w:rFonts w:asciiTheme="minorHAnsi" w:eastAsiaTheme="minorHAnsi" w:hAnsiTheme="minorHAnsi" w:cs="Verdana"/>
          <w:sz w:val="22"/>
          <w:szCs w:val="26"/>
          <w:lang w:val="en-US" w:eastAsia="en-US"/>
        </w:rPr>
        <w:t>t</w:t>
      </w:r>
      <w:r w:rsidRPr="0022379E">
        <w:rPr>
          <w:rFonts w:asciiTheme="minorHAnsi" w:eastAsiaTheme="minorHAnsi" w:hAnsiTheme="minorHAnsi" w:cs="Verdana"/>
          <w:sz w:val="22"/>
          <w:szCs w:val="26"/>
          <w:lang w:val="en-US" w:eastAsia="en-US"/>
        </w:rPr>
        <w:t xml:space="preserve">eaching &amp; </w:t>
      </w:r>
      <w:r w:rsidR="005A0F37">
        <w:rPr>
          <w:rFonts w:asciiTheme="minorHAnsi" w:eastAsiaTheme="minorHAnsi" w:hAnsiTheme="minorHAnsi" w:cs="Verdana"/>
          <w:sz w:val="22"/>
          <w:szCs w:val="26"/>
          <w:lang w:val="en-US" w:eastAsia="en-US"/>
        </w:rPr>
        <w:t>l</w:t>
      </w:r>
      <w:r w:rsidRPr="0022379E">
        <w:rPr>
          <w:rFonts w:asciiTheme="minorHAnsi" w:eastAsiaTheme="minorHAnsi" w:hAnsiTheme="minorHAnsi" w:cs="Verdana"/>
          <w:sz w:val="22"/>
          <w:szCs w:val="26"/>
          <w:lang w:val="en-US" w:eastAsia="en-US"/>
        </w:rPr>
        <w:t xml:space="preserve">earning or </w:t>
      </w:r>
      <w:r w:rsidR="005A0F37">
        <w:rPr>
          <w:rFonts w:asciiTheme="minorHAnsi" w:eastAsiaTheme="minorHAnsi" w:hAnsiTheme="minorHAnsi" w:cs="Verdana"/>
          <w:sz w:val="22"/>
          <w:szCs w:val="26"/>
          <w:lang w:val="en-US" w:eastAsia="en-US"/>
        </w:rPr>
        <w:t>r</w:t>
      </w:r>
      <w:r w:rsidRPr="0022379E">
        <w:rPr>
          <w:rFonts w:asciiTheme="minorHAnsi" w:eastAsiaTheme="minorHAnsi" w:hAnsiTheme="minorHAnsi" w:cs="Verdana"/>
          <w:sz w:val="22"/>
          <w:szCs w:val="26"/>
          <w:lang w:val="en-US" w:eastAsia="en-US"/>
        </w:rPr>
        <w:t xml:space="preserve">esearch will be deemed </w:t>
      </w:r>
      <w:r w:rsidR="00EF6238">
        <w:rPr>
          <w:rFonts w:asciiTheme="minorHAnsi" w:eastAsiaTheme="minorHAnsi" w:hAnsiTheme="minorHAnsi" w:cs="Verdana"/>
          <w:sz w:val="22"/>
          <w:szCs w:val="26"/>
          <w:lang w:val="en-US" w:eastAsia="en-US"/>
        </w:rPr>
        <w:t>to be performing</w:t>
      </w:r>
      <w:r>
        <w:rPr>
          <w:rFonts w:asciiTheme="minorHAnsi" w:eastAsiaTheme="minorHAnsi" w:hAnsiTheme="minorHAnsi" w:cs="Verdana"/>
          <w:sz w:val="22"/>
          <w:szCs w:val="26"/>
          <w:lang w:val="en-US" w:eastAsia="en-US"/>
        </w:rPr>
        <w:t xml:space="preserve"> at </w:t>
      </w:r>
      <w:r w:rsidR="007A1511" w:rsidRPr="007A1511">
        <w:rPr>
          <w:rFonts w:asciiTheme="minorHAnsi" w:eastAsiaTheme="minorHAnsi" w:hAnsiTheme="minorHAnsi" w:cs="Verdana"/>
          <w:b/>
          <w:sz w:val="22"/>
          <w:szCs w:val="26"/>
          <w:lang w:val="en-US" w:eastAsia="en-US"/>
        </w:rPr>
        <w:t>u</w:t>
      </w:r>
      <w:r w:rsidRPr="007A1511">
        <w:rPr>
          <w:rFonts w:asciiTheme="minorHAnsi" w:eastAsiaTheme="minorHAnsi" w:hAnsiTheme="minorHAnsi" w:cs="Verdana"/>
          <w:b/>
          <w:sz w:val="22"/>
          <w:szCs w:val="26"/>
          <w:lang w:val="en-US" w:eastAsia="en-US"/>
        </w:rPr>
        <w:t>nder-</w:t>
      </w:r>
      <w:r w:rsidR="007A1511" w:rsidRPr="007A1511">
        <w:rPr>
          <w:rFonts w:asciiTheme="minorHAnsi" w:eastAsiaTheme="minorHAnsi" w:hAnsiTheme="minorHAnsi" w:cs="Verdana"/>
          <w:b/>
          <w:sz w:val="22"/>
          <w:szCs w:val="26"/>
          <w:lang w:val="en-US" w:eastAsia="en-US"/>
        </w:rPr>
        <w:t>p</w:t>
      </w:r>
      <w:r w:rsidRPr="007A1511">
        <w:rPr>
          <w:rFonts w:asciiTheme="minorHAnsi" w:eastAsiaTheme="minorHAnsi" w:hAnsiTheme="minorHAnsi" w:cs="Verdana"/>
          <w:b/>
          <w:sz w:val="22"/>
          <w:szCs w:val="26"/>
          <w:lang w:val="en-US" w:eastAsia="en-US"/>
        </w:rPr>
        <w:t>erformance</w:t>
      </w:r>
      <w:r w:rsidRPr="0022379E">
        <w:rPr>
          <w:rFonts w:asciiTheme="minorHAnsi" w:eastAsiaTheme="minorHAnsi" w:hAnsiTheme="minorHAnsi" w:cs="Verdana"/>
          <w:sz w:val="22"/>
          <w:szCs w:val="26"/>
          <w:lang w:val="en-US" w:eastAsia="en-US"/>
        </w:rPr>
        <w:t xml:space="preserve"> level and will be placed on a performance improvement plan with respect to that particular area.</w:t>
      </w:r>
    </w:p>
    <w:p w:rsidR="0022379E" w:rsidRPr="0022379E" w:rsidRDefault="0022379E" w:rsidP="00DE5D98">
      <w:pPr>
        <w:spacing w:line="320" w:lineRule="atLeast"/>
        <w:rPr>
          <w:rFonts w:asciiTheme="minorHAnsi" w:eastAsiaTheme="minorHAnsi" w:hAnsiTheme="minorHAnsi" w:cs="Tahoma"/>
          <w:sz w:val="22"/>
          <w:szCs w:val="26"/>
          <w:lang w:val="en-US" w:eastAsia="en-US"/>
        </w:rPr>
      </w:pPr>
      <w:r w:rsidRPr="0022379E">
        <w:rPr>
          <w:rFonts w:asciiTheme="minorHAnsi" w:eastAsiaTheme="minorHAnsi" w:hAnsiTheme="minorHAnsi" w:cs="Verdana"/>
          <w:sz w:val="22"/>
          <w:szCs w:val="26"/>
          <w:lang w:val="en-US" w:eastAsia="en-US"/>
        </w:rPr>
        <w:t> </w:t>
      </w:r>
    </w:p>
    <w:p w:rsidR="0022379E" w:rsidRPr="0022379E" w:rsidRDefault="0022379E" w:rsidP="00DE5D98">
      <w:pPr>
        <w:spacing w:line="320" w:lineRule="atLeast"/>
        <w:rPr>
          <w:rFonts w:asciiTheme="minorHAnsi" w:eastAsiaTheme="minorHAnsi" w:hAnsiTheme="minorHAnsi" w:cs="Tahoma"/>
          <w:sz w:val="22"/>
          <w:szCs w:val="26"/>
          <w:lang w:val="en-US" w:eastAsia="en-US"/>
        </w:rPr>
      </w:pPr>
      <w:proofErr w:type="gramStart"/>
      <w:r w:rsidRPr="0022379E">
        <w:rPr>
          <w:rFonts w:asciiTheme="minorHAnsi" w:eastAsiaTheme="minorHAnsi" w:hAnsiTheme="minorHAnsi" w:cs="Verdana"/>
          <w:sz w:val="22"/>
          <w:szCs w:val="26"/>
          <w:lang w:val="en-US" w:eastAsia="en-US"/>
        </w:rPr>
        <w:t>Staff who fail</w:t>
      </w:r>
      <w:proofErr w:type="gramEnd"/>
      <w:r w:rsidRPr="0022379E">
        <w:rPr>
          <w:rFonts w:asciiTheme="minorHAnsi" w:eastAsiaTheme="minorHAnsi" w:hAnsiTheme="minorHAnsi" w:cs="Verdana"/>
          <w:sz w:val="22"/>
          <w:szCs w:val="26"/>
          <w:lang w:val="en-US" w:eastAsia="en-US"/>
        </w:rPr>
        <w:t xml:space="preserve"> to meet the criteria for </w:t>
      </w:r>
      <w:r w:rsidR="007A1511">
        <w:rPr>
          <w:rFonts w:asciiTheme="minorHAnsi" w:eastAsiaTheme="minorHAnsi" w:hAnsiTheme="minorHAnsi" w:cs="Verdana"/>
          <w:sz w:val="22"/>
          <w:szCs w:val="26"/>
          <w:lang w:val="en-US" w:eastAsia="en-US"/>
        </w:rPr>
        <w:t>e</w:t>
      </w:r>
      <w:r w:rsidRPr="0022379E">
        <w:rPr>
          <w:rFonts w:asciiTheme="minorHAnsi" w:eastAsiaTheme="minorHAnsi" w:hAnsiTheme="minorHAnsi" w:cs="Verdana"/>
          <w:sz w:val="22"/>
          <w:szCs w:val="26"/>
          <w:lang w:val="en-US" w:eastAsia="en-US"/>
        </w:rPr>
        <w:t xml:space="preserve">xpected </w:t>
      </w:r>
      <w:r w:rsidR="007A1511">
        <w:rPr>
          <w:rFonts w:asciiTheme="minorHAnsi" w:eastAsiaTheme="minorHAnsi" w:hAnsiTheme="minorHAnsi" w:cs="Verdana"/>
          <w:sz w:val="22"/>
          <w:szCs w:val="26"/>
          <w:lang w:val="en-US" w:eastAsia="en-US"/>
        </w:rPr>
        <w:t>p</w:t>
      </w:r>
      <w:r w:rsidRPr="0022379E">
        <w:rPr>
          <w:rFonts w:asciiTheme="minorHAnsi" w:eastAsiaTheme="minorHAnsi" w:hAnsiTheme="minorHAnsi" w:cs="Verdana"/>
          <w:sz w:val="22"/>
          <w:szCs w:val="26"/>
          <w:lang w:val="en-US" w:eastAsia="en-US"/>
        </w:rPr>
        <w:t xml:space="preserve">erformance for both </w:t>
      </w:r>
      <w:r w:rsidR="007A1511">
        <w:rPr>
          <w:rFonts w:asciiTheme="minorHAnsi" w:eastAsiaTheme="minorHAnsi" w:hAnsiTheme="minorHAnsi" w:cs="Verdana"/>
          <w:sz w:val="22"/>
          <w:szCs w:val="26"/>
          <w:lang w:val="en-US" w:eastAsia="en-US"/>
        </w:rPr>
        <w:t>c</w:t>
      </w:r>
      <w:r w:rsidRPr="0022379E">
        <w:rPr>
          <w:rFonts w:asciiTheme="minorHAnsi" w:eastAsiaTheme="minorHAnsi" w:hAnsiTheme="minorHAnsi" w:cs="Verdana"/>
          <w:sz w:val="22"/>
          <w:szCs w:val="26"/>
          <w:lang w:val="en-US" w:eastAsia="en-US"/>
        </w:rPr>
        <w:t xml:space="preserve">ontributions to </w:t>
      </w:r>
      <w:r w:rsidR="005A0F37">
        <w:rPr>
          <w:rFonts w:asciiTheme="minorHAnsi" w:eastAsiaTheme="minorHAnsi" w:hAnsiTheme="minorHAnsi" w:cs="Verdana"/>
          <w:sz w:val="22"/>
          <w:szCs w:val="26"/>
          <w:lang w:val="en-US" w:eastAsia="en-US"/>
        </w:rPr>
        <w:t>t</w:t>
      </w:r>
      <w:r w:rsidRPr="0022379E">
        <w:rPr>
          <w:rFonts w:asciiTheme="minorHAnsi" w:eastAsiaTheme="minorHAnsi" w:hAnsiTheme="minorHAnsi" w:cs="Verdana"/>
          <w:sz w:val="22"/>
          <w:szCs w:val="26"/>
          <w:lang w:val="en-US" w:eastAsia="en-US"/>
        </w:rPr>
        <w:t xml:space="preserve">eaching &amp; </w:t>
      </w:r>
      <w:r w:rsidR="005A0F37">
        <w:rPr>
          <w:rFonts w:asciiTheme="minorHAnsi" w:eastAsiaTheme="minorHAnsi" w:hAnsiTheme="minorHAnsi" w:cs="Verdana"/>
          <w:sz w:val="22"/>
          <w:szCs w:val="26"/>
          <w:lang w:val="en-US" w:eastAsia="en-US"/>
        </w:rPr>
        <w:t>l</w:t>
      </w:r>
      <w:r w:rsidRPr="0022379E">
        <w:rPr>
          <w:rFonts w:asciiTheme="minorHAnsi" w:eastAsiaTheme="minorHAnsi" w:hAnsiTheme="minorHAnsi" w:cs="Verdana"/>
          <w:sz w:val="22"/>
          <w:szCs w:val="26"/>
          <w:lang w:val="en-US" w:eastAsia="en-US"/>
        </w:rPr>
        <w:t xml:space="preserve">earning and </w:t>
      </w:r>
      <w:r w:rsidR="005A0F37">
        <w:rPr>
          <w:rFonts w:asciiTheme="minorHAnsi" w:eastAsiaTheme="minorHAnsi" w:hAnsiTheme="minorHAnsi" w:cs="Verdana"/>
          <w:sz w:val="22"/>
          <w:szCs w:val="26"/>
          <w:lang w:val="en-US" w:eastAsia="en-US"/>
        </w:rPr>
        <w:t>r</w:t>
      </w:r>
      <w:r w:rsidRPr="0022379E">
        <w:rPr>
          <w:rFonts w:asciiTheme="minorHAnsi" w:eastAsiaTheme="minorHAnsi" w:hAnsiTheme="minorHAnsi" w:cs="Verdana"/>
          <w:sz w:val="22"/>
          <w:szCs w:val="26"/>
          <w:lang w:val="en-US" w:eastAsia="en-US"/>
        </w:rPr>
        <w:t xml:space="preserve">esearch will be deemed to be </w:t>
      </w:r>
      <w:r w:rsidR="00EF6238">
        <w:rPr>
          <w:rFonts w:asciiTheme="minorHAnsi" w:eastAsiaTheme="minorHAnsi" w:hAnsiTheme="minorHAnsi" w:cs="Verdana"/>
          <w:sz w:val="22"/>
          <w:szCs w:val="26"/>
          <w:lang w:val="en-US" w:eastAsia="en-US"/>
        </w:rPr>
        <w:t>performing</w:t>
      </w:r>
      <w:r w:rsidRPr="0022379E">
        <w:rPr>
          <w:rFonts w:asciiTheme="minorHAnsi" w:eastAsiaTheme="minorHAnsi" w:hAnsiTheme="minorHAnsi" w:cs="Verdana"/>
          <w:sz w:val="22"/>
          <w:szCs w:val="26"/>
          <w:lang w:val="en-US" w:eastAsia="en-US"/>
        </w:rPr>
        <w:t xml:space="preserve"> at </w:t>
      </w:r>
      <w:r w:rsidR="007A1511" w:rsidRPr="007A1511">
        <w:rPr>
          <w:rFonts w:asciiTheme="minorHAnsi" w:eastAsiaTheme="minorHAnsi" w:hAnsiTheme="minorHAnsi" w:cs="Verdana"/>
          <w:b/>
          <w:sz w:val="22"/>
          <w:szCs w:val="26"/>
          <w:lang w:val="en-US" w:eastAsia="en-US"/>
        </w:rPr>
        <w:t>u</w:t>
      </w:r>
      <w:r w:rsidRPr="007A1511">
        <w:rPr>
          <w:rFonts w:asciiTheme="minorHAnsi" w:eastAsiaTheme="minorHAnsi" w:hAnsiTheme="minorHAnsi" w:cs="Verdana"/>
          <w:b/>
          <w:sz w:val="22"/>
          <w:szCs w:val="26"/>
          <w:lang w:val="en-US" w:eastAsia="en-US"/>
        </w:rPr>
        <w:t>nsatisfactory</w:t>
      </w:r>
      <w:r>
        <w:rPr>
          <w:rFonts w:asciiTheme="minorHAnsi" w:eastAsiaTheme="minorHAnsi" w:hAnsiTheme="minorHAnsi" w:cs="Verdana"/>
          <w:sz w:val="22"/>
          <w:szCs w:val="26"/>
          <w:lang w:val="en-US" w:eastAsia="en-US"/>
        </w:rPr>
        <w:t xml:space="preserve"> </w:t>
      </w:r>
      <w:r w:rsidR="007A1511">
        <w:rPr>
          <w:rFonts w:asciiTheme="minorHAnsi" w:eastAsiaTheme="minorHAnsi" w:hAnsiTheme="minorHAnsi" w:cs="Verdana"/>
          <w:sz w:val="22"/>
          <w:szCs w:val="26"/>
          <w:lang w:val="en-US" w:eastAsia="en-US"/>
        </w:rPr>
        <w:t>p</w:t>
      </w:r>
      <w:r w:rsidRPr="0022379E">
        <w:rPr>
          <w:rFonts w:asciiTheme="minorHAnsi" w:eastAsiaTheme="minorHAnsi" w:hAnsiTheme="minorHAnsi" w:cs="Verdana"/>
          <w:sz w:val="22"/>
          <w:szCs w:val="26"/>
          <w:lang w:val="en-US" w:eastAsia="en-US"/>
        </w:rPr>
        <w:t xml:space="preserve">erformance level. </w:t>
      </w:r>
    </w:p>
    <w:p w:rsidR="0022379E" w:rsidRPr="0022379E" w:rsidRDefault="0022379E" w:rsidP="0022379E">
      <w:pPr>
        <w:rPr>
          <w:rFonts w:asciiTheme="minorHAnsi" w:hAnsiTheme="minorHAnsi"/>
          <w:b/>
          <w:sz w:val="22"/>
          <w:szCs w:val="22"/>
        </w:rPr>
      </w:pPr>
      <w:r w:rsidRPr="0022379E">
        <w:rPr>
          <w:rFonts w:asciiTheme="minorHAnsi" w:eastAsiaTheme="minorHAnsi" w:hAnsiTheme="minorHAnsi" w:cs="Verdana"/>
          <w:sz w:val="22"/>
          <w:szCs w:val="26"/>
          <w:lang w:val="en-US" w:eastAsia="en-US"/>
        </w:rPr>
        <w:t> </w:t>
      </w:r>
    </w:p>
    <w:p w:rsidR="000A4D51" w:rsidRDefault="000A4D51" w:rsidP="00FF1E87">
      <w:pPr>
        <w:rPr>
          <w:rFonts w:asciiTheme="minorHAnsi" w:hAnsiTheme="minorHAnsi"/>
          <w:sz w:val="22"/>
          <w:szCs w:val="22"/>
        </w:rPr>
      </w:pPr>
    </w:p>
    <w:p w:rsidR="002B405A" w:rsidRDefault="002B405A" w:rsidP="002B405A">
      <w:pPr>
        <w:rPr>
          <w:rFonts w:asciiTheme="minorHAnsi" w:hAnsiTheme="minorHAnsi"/>
          <w:b/>
          <w:szCs w:val="22"/>
        </w:rPr>
      </w:pPr>
      <w:r>
        <w:rPr>
          <w:rFonts w:asciiTheme="minorHAnsi" w:hAnsiTheme="minorHAnsi"/>
          <w:b/>
          <w:szCs w:val="22"/>
        </w:rPr>
        <w:t>Commerce</w:t>
      </w:r>
    </w:p>
    <w:p w:rsidR="00FB53C1" w:rsidRPr="00FB53C1" w:rsidRDefault="00FB53C1" w:rsidP="00FB53C1">
      <w:pPr>
        <w:tabs>
          <w:tab w:val="left" w:pos="4286"/>
        </w:tabs>
        <w:jc w:val="both"/>
        <w:rPr>
          <w:rFonts w:asciiTheme="minorHAnsi" w:hAnsiTheme="minorHAnsi"/>
          <w:sz w:val="22"/>
        </w:rPr>
      </w:pPr>
    </w:p>
    <w:p w:rsidR="00FB53C1" w:rsidRPr="00FB53C1" w:rsidRDefault="00FB53C1" w:rsidP="00DE5D98">
      <w:pPr>
        <w:tabs>
          <w:tab w:val="left" w:pos="4286"/>
        </w:tabs>
        <w:spacing w:line="320" w:lineRule="atLeast"/>
        <w:rPr>
          <w:rFonts w:asciiTheme="minorHAnsi" w:hAnsiTheme="minorHAnsi"/>
          <w:sz w:val="22"/>
        </w:rPr>
      </w:pPr>
      <w:r w:rsidRPr="00FB53C1">
        <w:rPr>
          <w:rFonts w:asciiTheme="minorHAnsi" w:hAnsiTheme="minorHAnsi"/>
          <w:sz w:val="22"/>
        </w:rPr>
        <w:t>Academic staff</w:t>
      </w:r>
      <w:r>
        <w:rPr>
          <w:rFonts w:asciiTheme="minorHAnsi" w:hAnsiTheme="minorHAnsi"/>
          <w:sz w:val="22"/>
        </w:rPr>
        <w:t xml:space="preserve"> will be deemed to be performing at </w:t>
      </w:r>
      <w:r w:rsidRPr="007A1511">
        <w:rPr>
          <w:rFonts w:asciiTheme="minorHAnsi" w:hAnsiTheme="minorHAnsi"/>
          <w:b/>
          <w:sz w:val="22"/>
        </w:rPr>
        <w:t>expected</w:t>
      </w:r>
      <w:r>
        <w:rPr>
          <w:rFonts w:asciiTheme="minorHAnsi" w:hAnsiTheme="minorHAnsi"/>
          <w:sz w:val="22"/>
        </w:rPr>
        <w:t xml:space="preserve"> levels </w:t>
      </w:r>
      <w:r w:rsidRPr="00FB53C1">
        <w:rPr>
          <w:rFonts w:asciiTheme="minorHAnsi" w:hAnsiTheme="minorHAnsi"/>
          <w:sz w:val="22"/>
        </w:rPr>
        <w:t xml:space="preserve">where a weighted averages score of 5 or above is achieved across the four categories of research, teaching and learning, leadership and management and </w:t>
      </w:r>
      <w:r w:rsidRPr="00FB53C1">
        <w:rPr>
          <w:rFonts w:asciiTheme="minorHAnsi" w:hAnsiTheme="minorHAnsi"/>
          <w:sz w:val="22"/>
        </w:rPr>
        <w:lastRenderedPageBreak/>
        <w:t>social responsiveness. In addition, at the Professor level, a minimum of score of 5 must be achieved for research to be deemed satisfactory</w:t>
      </w:r>
      <w:r w:rsidR="0059283E">
        <w:rPr>
          <w:rStyle w:val="FootnoteReference"/>
          <w:rFonts w:asciiTheme="minorHAnsi" w:hAnsiTheme="minorHAnsi"/>
          <w:sz w:val="22"/>
        </w:rPr>
        <w:footnoteReference w:id="3"/>
      </w:r>
      <w:r w:rsidRPr="00FB53C1">
        <w:rPr>
          <w:rFonts w:asciiTheme="minorHAnsi" w:hAnsiTheme="minorHAnsi"/>
          <w:sz w:val="22"/>
        </w:rPr>
        <w:t xml:space="preserve">. </w:t>
      </w:r>
    </w:p>
    <w:p w:rsidR="00FB53C1" w:rsidRPr="00FB53C1" w:rsidRDefault="00FB53C1" w:rsidP="00DE5D98">
      <w:pPr>
        <w:tabs>
          <w:tab w:val="left" w:pos="4286"/>
        </w:tabs>
        <w:spacing w:line="320" w:lineRule="atLeast"/>
        <w:rPr>
          <w:rFonts w:asciiTheme="minorHAnsi" w:hAnsiTheme="minorHAnsi"/>
          <w:sz w:val="22"/>
        </w:rPr>
      </w:pPr>
    </w:p>
    <w:p w:rsidR="00FB53C1" w:rsidRPr="00FB53C1" w:rsidRDefault="00FB53C1" w:rsidP="00DE5D98">
      <w:pPr>
        <w:tabs>
          <w:tab w:val="left" w:pos="4286"/>
        </w:tabs>
        <w:spacing w:line="320" w:lineRule="atLeast"/>
        <w:rPr>
          <w:rFonts w:asciiTheme="minorHAnsi" w:hAnsiTheme="minorHAnsi"/>
          <w:sz w:val="22"/>
        </w:rPr>
      </w:pPr>
      <w:r w:rsidRPr="00FB53C1">
        <w:rPr>
          <w:rFonts w:asciiTheme="minorHAnsi" w:hAnsiTheme="minorHAnsi"/>
          <w:sz w:val="22"/>
        </w:rPr>
        <w:t xml:space="preserve">Academic staff who fall slightly below this level but have weighted average score of at least 4.5 and in the case of Professor a minimum score of 4 for research, will be considered </w:t>
      </w:r>
      <w:r w:rsidR="00EF6238">
        <w:rPr>
          <w:rFonts w:asciiTheme="minorHAnsi" w:hAnsiTheme="minorHAnsi"/>
          <w:sz w:val="22"/>
        </w:rPr>
        <w:t>to be performing at</w:t>
      </w:r>
      <w:r w:rsidRPr="00FB53C1">
        <w:rPr>
          <w:rFonts w:asciiTheme="minorHAnsi" w:hAnsiTheme="minorHAnsi"/>
          <w:sz w:val="22"/>
        </w:rPr>
        <w:t xml:space="preserve"> </w:t>
      </w:r>
      <w:r>
        <w:rPr>
          <w:rFonts w:asciiTheme="minorHAnsi" w:hAnsiTheme="minorHAnsi"/>
          <w:b/>
          <w:sz w:val="22"/>
        </w:rPr>
        <w:t>under-</w:t>
      </w:r>
      <w:r w:rsidRPr="00FB53C1">
        <w:rPr>
          <w:rFonts w:asciiTheme="minorHAnsi" w:hAnsiTheme="minorHAnsi"/>
          <w:b/>
          <w:sz w:val="22"/>
        </w:rPr>
        <w:t>perform</w:t>
      </w:r>
      <w:r w:rsidR="00EF6238">
        <w:rPr>
          <w:rFonts w:asciiTheme="minorHAnsi" w:hAnsiTheme="minorHAnsi"/>
          <w:b/>
          <w:sz w:val="22"/>
        </w:rPr>
        <w:t xml:space="preserve">ance </w:t>
      </w:r>
      <w:r w:rsidR="00EF6238">
        <w:rPr>
          <w:rFonts w:asciiTheme="minorHAnsi" w:hAnsiTheme="minorHAnsi"/>
          <w:sz w:val="22"/>
        </w:rPr>
        <w:t>level</w:t>
      </w:r>
      <w:r>
        <w:rPr>
          <w:rFonts w:asciiTheme="minorHAnsi" w:hAnsiTheme="minorHAnsi"/>
          <w:sz w:val="22"/>
        </w:rPr>
        <w:t xml:space="preserve">. </w:t>
      </w:r>
    </w:p>
    <w:p w:rsidR="00FB53C1" w:rsidRPr="00FB53C1" w:rsidRDefault="00FB53C1" w:rsidP="00DE5D98">
      <w:pPr>
        <w:tabs>
          <w:tab w:val="left" w:pos="4286"/>
        </w:tabs>
        <w:spacing w:line="320" w:lineRule="atLeast"/>
        <w:rPr>
          <w:rFonts w:asciiTheme="minorHAnsi" w:hAnsiTheme="minorHAnsi"/>
          <w:sz w:val="22"/>
        </w:rPr>
      </w:pPr>
    </w:p>
    <w:p w:rsidR="002B405A" w:rsidRDefault="00FB53C1" w:rsidP="00DE5D98">
      <w:pPr>
        <w:tabs>
          <w:tab w:val="left" w:pos="4286"/>
        </w:tabs>
        <w:spacing w:line="320" w:lineRule="atLeast"/>
        <w:rPr>
          <w:rFonts w:asciiTheme="minorHAnsi" w:hAnsiTheme="minorHAnsi"/>
          <w:sz w:val="22"/>
        </w:rPr>
      </w:pPr>
      <w:r w:rsidRPr="00FB53C1">
        <w:rPr>
          <w:rFonts w:asciiTheme="minorHAnsi" w:hAnsiTheme="minorHAnsi"/>
          <w:sz w:val="22"/>
        </w:rPr>
        <w:t>Academic staff with a weighted average scores of below 4.5, or in the case of Professor a minimum score of 4 for research, will</w:t>
      </w:r>
      <w:r>
        <w:rPr>
          <w:rFonts w:asciiTheme="minorHAnsi" w:hAnsiTheme="minorHAnsi"/>
          <w:sz w:val="22"/>
        </w:rPr>
        <w:t xml:space="preserve"> be deemed to be performing</w:t>
      </w:r>
      <w:r w:rsidR="007A1511">
        <w:rPr>
          <w:rFonts w:asciiTheme="minorHAnsi" w:hAnsiTheme="minorHAnsi"/>
          <w:sz w:val="22"/>
        </w:rPr>
        <w:t xml:space="preserve"> at </w:t>
      </w:r>
      <w:r w:rsidRPr="00FB53C1">
        <w:rPr>
          <w:rFonts w:asciiTheme="minorHAnsi" w:hAnsiTheme="minorHAnsi"/>
          <w:b/>
          <w:sz w:val="22"/>
        </w:rPr>
        <w:t>unsatisfactor</w:t>
      </w:r>
      <w:r w:rsidR="007A1511">
        <w:rPr>
          <w:rFonts w:asciiTheme="minorHAnsi" w:hAnsiTheme="minorHAnsi"/>
          <w:b/>
          <w:sz w:val="22"/>
        </w:rPr>
        <w:t xml:space="preserve">y </w:t>
      </w:r>
      <w:r w:rsidR="007A1511">
        <w:rPr>
          <w:rFonts w:asciiTheme="minorHAnsi" w:hAnsiTheme="minorHAnsi"/>
          <w:sz w:val="22"/>
        </w:rPr>
        <w:t>performance level</w:t>
      </w:r>
      <w:r>
        <w:rPr>
          <w:rFonts w:asciiTheme="minorHAnsi" w:hAnsiTheme="minorHAnsi"/>
          <w:b/>
          <w:sz w:val="22"/>
        </w:rPr>
        <w:t>.</w:t>
      </w:r>
      <w:r w:rsidRPr="00FB53C1">
        <w:rPr>
          <w:rFonts w:asciiTheme="minorHAnsi" w:hAnsiTheme="minorHAnsi"/>
          <w:b/>
          <w:sz w:val="22"/>
        </w:rPr>
        <w:t xml:space="preserve"> </w:t>
      </w:r>
      <w:r w:rsidRPr="00FB53C1">
        <w:rPr>
          <w:rFonts w:asciiTheme="minorHAnsi" w:hAnsiTheme="minorHAnsi"/>
          <w:sz w:val="22"/>
        </w:rPr>
        <w:t xml:space="preserve"> </w:t>
      </w:r>
    </w:p>
    <w:p w:rsidR="00DE5D98" w:rsidRDefault="00DE5D98" w:rsidP="00DE5D98">
      <w:pPr>
        <w:tabs>
          <w:tab w:val="left" w:pos="4286"/>
        </w:tabs>
        <w:spacing w:line="320" w:lineRule="atLeast"/>
        <w:rPr>
          <w:rFonts w:asciiTheme="minorHAnsi" w:hAnsiTheme="minorHAnsi"/>
          <w:b/>
          <w:szCs w:val="22"/>
        </w:rPr>
      </w:pPr>
    </w:p>
    <w:p w:rsidR="002B405A" w:rsidRPr="005D7AF3" w:rsidRDefault="002B405A" w:rsidP="002B405A">
      <w:pPr>
        <w:rPr>
          <w:rFonts w:asciiTheme="minorHAnsi" w:hAnsiTheme="minorHAnsi"/>
          <w:b/>
          <w:szCs w:val="22"/>
        </w:rPr>
      </w:pPr>
      <w:r>
        <w:rPr>
          <w:rFonts w:asciiTheme="minorHAnsi" w:hAnsiTheme="minorHAnsi"/>
          <w:b/>
          <w:szCs w:val="22"/>
        </w:rPr>
        <w:t>Engineering and the Built Environment</w:t>
      </w:r>
    </w:p>
    <w:p w:rsidR="00CB6644" w:rsidRPr="00CB6644" w:rsidRDefault="00F1536F" w:rsidP="00DE5D98">
      <w:pPr>
        <w:widowControl w:val="0"/>
        <w:autoSpaceDE w:val="0"/>
        <w:autoSpaceDN w:val="0"/>
        <w:adjustRightInd w:val="0"/>
        <w:spacing w:before="120" w:after="120" w:line="320" w:lineRule="atLeast"/>
        <w:rPr>
          <w:rFonts w:asciiTheme="minorHAnsi" w:hAnsiTheme="minorHAnsi" w:cs="Tahoma"/>
          <w:sz w:val="22"/>
          <w:szCs w:val="22"/>
        </w:rPr>
      </w:pPr>
      <w:r w:rsidRPr="00F1536F">
        <w:rPr>
          <w:rFonts w:asciiTheme="minorHAnsi" w:eastAsiaTheme="minorHAnsi" w:hAnsiTheme="minorHAnsi" w:cs="Tahoma"/>
          <w:sz w:val="22"/>
          <w:szCs w:val="26"/>
          <w:lang w:val="en-US" w:eastAsia="en-US"/>
        </w:rPr>
        <w:t> </w:t>
      </w:r>
      <w:r w:rsidR="00CB6644" w:rsidRPr="00CB6644">
        <w:rPr>
          <w:rFonts w:asciiTheme="minorHAnsi" w:hAnsiTheme="minorHAnsi" w:cs="Tahoma"/>
          <w:sz w:val="22"/>
          <w:szCs w:val="22"/>
        </w:rPr>
        <w:t xml:space="preserve">The performance score is an aggregate score across the four categories of </w:t>
      </w:r>
      <w:r w:rsidR="005A0F37">
        <w:rPr>
          <w:rFonts w:asciiTheme="minorHAnsi" w:hAnsiTheme="minorHAnsi" w:cs="Tahoma"/>
          <w:sz w:val="22"/>
          <w:szCs w:val="22"/>
        </w:rPr>
        <w:t>t</w:t>
      </w:r>
      <w:r w:rsidR="00CB6644" w:rsidRPr="00CB6644">
        <w:rPr>
          <w:rFonts w:asciiTheme="minorHAnsi" w:hAnsiTheme="minorHAnsi" w:cs="Tahoma"/>
          <w:sz w:val="22"/>
          <w:szCs w:val="22"/>
        </w:rPr>
        <w:t xml:space="preserve">eaching, </w:t>
      </w:r>
      <w:r w:rsidR="005A0F37">
        <w:rPr>
          <w:rFonts w:asciiTheme="minorHAnsi" w:hAnsiTheme="minorHAnsi" w:cs="Tahoma"/>
          <w:sz w:val="22"/>
          <w:szCs w:val="22"/>
        </w:rPr>
        <w:t>r</w:t>
      </w:r>
      <w:r w:rsidR="00CB6644" w:rsidRPr="00CB6644">
        <w:rPr>
          <w:rFonts w:asciiTheme="minorHAnsi" w:hAnsiTheme="minorHAnsi" w:cs="Tahoma"/>
          <w:sz w:val="22"/>
          <w:szCs w:val="22"/>
        </w:rPr>
        <w:t xml:space="preserve">esearch, </w:t>
      </w:r>
      <w:r w:rsidR="005A0F37">
        <w:rPr>
          <w:rFonts w:asciiTheme="minorHAnsi" w:hAnsiTheme="minorHAnsi" w:cs="Tahoma"/>
          <w:sz w:val="22"/>
          <w:szCs w:val="22"/>
        </w:rPr>
        <w:t>a</w:t>
      </w:r>
      <w:r w:rsidR="00CB6644" w:rsidRPr="00CB6644">
        <w:rPr>
          <w:rFonts w:asciiTheme="minorHAnsi" w:hAnsiTheme="minorHAnsi" w:cs="Tahoma"/>
          <w:sz w:val="22"/>
          <w:szCs w:val="22"/>
        </w:rPr>
        <w:t xml:space="preserve">dministration and </w:t>
      </w:r>
      <w:r w:rsidR="005A0F37">
        <w:rPr>
          <w:rFonts w:asciiTheme="minorHAnsi" w:hAnsiTheme="minorHAnsi" w:cs="Tahoma"/>
          <w:sz w:val="22"/>
          <w:szCs w:val="22"/>
        </w:rPr>
        <w:t>l</w:t>
      </w:r>
      <w:r w:rsidR="00CB6644" w:rsidRPr="00CB6644">
        <w:rPr>
          <w:rFonts w:asciiTheme="minorHAnsi" w:hAnsiTheme="minorHAnsi" w:cs="Tahoma"/>
          <w:sz w:val="22"/>
          <w:szCs w:val="22"/>
        </w:rPr>
        <w:t xml:space="preserve">eadership, and </w:t>
      </w:r>
      <w:r w:rsidR="005A0F37">
        <w:rPr>
          <w:rFonts w:asciiTheme="minorHAnsi" w:hAnsiTheme="minorHAnsi" w:cs="Tahoma"/>
          <w:sz w:val="22"/>
          <w:szCs w:val="22"/>
        </w:rPr>
        <w:t>s</w:t>
      </w:r>
      <w:r w:rsidR="00CB6644" w:rsidRPr="00CB6644">
        <w:rPr>
          <w:rFonts w:asciiTheme="minorHAnsi" w:hAnsiTheme="minorHAnsi" w:cs="Tahoma"/>
          <w:sz w:val="22"/>
          <w:szCs w:val="22"/>
        </w:rPr>
        <w:t xml:space="preserve">ocial </w:t>
      </w:r>
      <w:r w:rsidR="005A0F37">
        <w:rPr>
          <w:rFonts w:asciiTheme="minorHAnsi" w:hAnsiTheme="minorHAnsi" w:cs="Tahoma"/>
          <w:sz w:val="22"/>
          <w:szCs w:val="22"/>
        </w:rPr>
        <w:t>r</w:t>
      </w:r>
      <w:r w:rsidR="00CB6644" w:rsidRPr="00CB6644">
        <w:rPr>
          <w:rFonts w:asciiTheme="minorHAnsi" w:hAnsiTheme="minorHAnsi" w:cs="Tahoma"/>
          <w:sz w:val="22"/>
          <w:szCs w:val="22"/>
        </w:rPr>
        <w:t xml:space="preserve">esponsiveness.  It is based on the </w:t>
      </w:r>
      <w:r w:rsidR="002E39DE">
        <w:rPr>
          <w:rFonts w:asciiTheme="minorHAnsi" w:hAnsiTheme="minorHAnsi" w:cs="Tahoma"/>
          <w:sz w:val="22"/>
          <w:szCs w:val="22"/>
        </w:rPr>
        <w:t>a</w:t>
      </w:r>
      <w:r w:rsidR="00CB6644" w:rsidRPr="00CB6644">
        <w:rPr>
          <w:rFonts w:asciiTheme="minorHAnsi" w:hAnsiTheme="minorHAnsi" w:cs="Tahoma"/>
          <w:sz w:val="22"/>
          <w:szCs w:val="22"/>
        </w:rPr>
        <w:t xml:space="preserve">d-hominem promotion guide for scoring, including the weighting system.   </w:t>
      </w:r>
    </w:p>
    <w:p w:rsidR="00CB6644" w:rsidRPr="00CB6644" w:rsidRDefault="00CB6644" w:rsidP="00DE5D98">
      <w:pPr>
        <w:spacing w:line="320" w:lineRule="atLeast"/>
        <w:jc w:val="both"/>
        <w:rPr>
          <w:rFonts w:asciiTheme="minorHAnsi" w:hAnsiTheme="minorHAnsi" w:cs="Tahoma"/>
          <w:sz w:val="22"/>
          <w:szCs w:val="22"/>
        </w:rPr>
      </w:pPr>
      <w:r w:rsidRPr="00CB6644">
        <w:rPr>
          <w:rFonts w:asciiTheme="minorHAnsi" w:hAnsiTheme="minorHAnsi" w:cs="Tahoma"/>
          <w:sz w:val="22"/>
          <w:szCs w:val="22"/>
        </w:rPr>
        <w:t xml:space="preserve"> To allow staff to change the emphasis of their work in consultation with their </w:t>
      </w:r>
      <w:proofErr w:type="spellStart"/>
      <w:r w:rsidRPr="00CB6644">
        <w:rPr>
          <w:rFonts w:asciiTheme="minorHAnsi" w:hAnsiTheme="minorHAnsi" w:cs="Tahoma"/>
          <w:sz w:val="22"/>
          <w:szCs w:val="22"/>
        </w:rPr>
        <w:t>HODs</w:t>
      </w:r>
      <w:proofErr w:type="spellEnd"/>
      <w:r w:rsidRPr="00CB6644">
        <w:rPr>
          <w:rFonts w:asciiTheme="minorHAnsi" w:hAnsiTheme="minorHAnsi" w:cs="Tahoma"/>
          <w:sz w:val="22"/>
          <w:szCs w:val="22"/>
        </w:rPr>
        <w:t xml:space="preserve">, the </w:t>
      </w:r>
      <w:proofErr w:type="spellStart"/>
      <w:r w:rsidRPr="00CB6644">
        <w:rPr>
          <w:rFonts w:asciiTheme="minorHAnsi" w:hAnsiTheme="minorHAnsi" w:cs="Tahoma"/>
          <w:sz w:val="22"/>
          <w:szCs w:val="22"/>
        </w:rPr>
        <w:t>HOD</w:t>
      </w:r>
      <w:proofErr w:type="spellEnd"/>
      <w:r w:rsidRPr="00CB6644">
        <w:rPr>
          <w:rFonts w:asciiTheme="minorHAnsi" w:hAnsiTheme="minorHAnsi" w:cs="Tahoma"/>
          <w:sz w:val="22"/>
          <w:szCs w:val="22"/>
        </w:rPr>
        <w:t xml:space="preserve"> may recommend a temporary deviation from the allowed weightings, provided that (a) the staff member is in agreement and (b) the </w:t>
      </w:r>
      <w:proofErr w:type="spellStart"/>
      <w:r w:rsidRPr="00CB6644">
        <w:rPr>
          <w:rFonts w:asciiTheme="minorHAnsi" w:hAnsiTheme="minorHAnsi" w:cs="Tahoma"/>
          <w:sz w:val="22"/>
          <w:szCs w:val="22"/>
        </w:rPr>
        <w:t>HOD</w:t>
      </w:r>
      <w:proofErr w:type="spellEnd"/>
      <w:r w:rsidRPr="00CB6644">
        <w:rPr>
          <w:rFonts w:asciiTheme="minorHAnsi" w:hAnsiTheme="minorHAnsi" w:cs="Tahoma"/>
          <w:sz w:val="22"/>
          <w:szCs w:val="22"/>
        </w:rPr>
        <w:t xml:space="preserve"> informs the Dean of the arrangement.  </w:t>
      </w:r>
    </w:p>
    <w:p w:rsidR="00CB6644" w:rsidRPr="00CB6644" w:rsidRDefault="00CB6644" w:rsidP="00CB6644">
      <w:pPr>
        <w:jc w:val="both"/>
        <w:rPr>
          <w:rFonts w:asciiTheme="minorHAnsi" w:hAnsiTheme="minorHAnsi" w:cs="Tahoma"/>
          <w:sz w:val="22"/>
          <w:szCs w:val="22"/>
        </w:rPr>
      </w:pPr>
      <w:r w:rsidRPr="00CB6644">
        <w:rPr>
          <w:rFonts w:asciiTheme="minorHAnsi" w:hAnsiTheme="minorHAnsi" w:cs="Tahoma"/>
          <w:sz w:val="22"/>
          <w:szCs w:val="22"/>
        </w:rPr>
        <w:t> </w:t>
      </w:r>
    </w:p>
    <w:p w:rsidR="00CB6644" w:rsidRPr="00CB6644" w:rsidRDefault="00CB6644" w:rsidP="00CB6644">
      <w:pPr>
        <w:jc w:val="both"/>
        <w:rPr>
          <w:rFonts w:asciiTheme="minorHAnsi" w:hAnsiTheme="minorHAnsi" w:cs="Tahoma"/>
          <w:sz w:val="22"/>
          <w:szCs w:val="22"/>
        </w:rPr>
      </w:pPr>
      <w:r w:rsidRPr="00CB6644">
        <w:rPr>
          <w:rFonts w:asciiTheme="minorHAnsi" w:hAnsiTheme="minorHAnsi" w:cs="Tahoma"/>
          <w:b/>
          <w:sz w:val="22"/>
          <w:szCs w:val="22"/>
        </w:rPr>
        <w:t>Expected</w:t>
      </w:r>
      <w:r w:rsidRPr="00CB6644">
        <w:rPr>
          <w:rFonts w:asciiTheme="minorHAnsi" w:hAnsiTheme="minorHAnsi" w:cs="Tahoma"/>
          <w:sz w:val="22"/>
          <w:szCs w:val="22"/>
        </w:rPr>
        <w:t xml:space="preserve"> performance levels are as follows:</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Lecturer - weighted score of 45-50</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Senior Lecturer - weighted score of 55-60</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Associate Professor - weighted score of 65-70</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Professor - weighted score of at 75-80</w:t>
      </w:r>
      <w:r w:rsidR="0059283E">
        <w:rPr>
          <w:rStyle w:val="FootnoteReference"/>
          <w:rFonts w:asciiTheme="minorHAnsi" w:hAnsiTheme="minorHAnsi" w:cs="Tahoma"/>
          <w:sz w:val="22"/>
          <w:szCs w:val="22"/>
        </w:rPr>
        <w:footnoteReference w:id="4"/>
      </w:r>
    </w:p>
    <w:p w:rsidR="00CB6644" w:rsidRPr="00CB6644" w:rsidRDefault="00CB6644" w:rsidP="00CB6644">
      <w:pPr>
        <w:jc w:val="both"/>
        <w:rPr>
          <w:rFonts w:asciiTheme="minorHAnsi" w:hAnsiTheme="minorHAnsi" w:cs="Tahoma"/>
          <w:sz w:val="22"/>
          <w:szCs w:val="22"/>
        </w:rPr>
      </w:pPr>
    </w:p>
    <w:p w:rsidR="00CB6644" w:rsidRPr="00CB6644" w:rsidRDefault="001C4FB8" w:rsidP="00DE5D98">
      <w:pPr>
        <w:spacing w:line="320" w:lineRule="atLeast"/>
        <w:jc w:val="both"/>
        <w:rPr>
          <w:rFonts w:asciiTheme="minorHAnsi" w:hAnsiTheme="minorHAnsi" w:cs="Tahoma"/>
          <w:sz w:val="22"/>
          <w:szCs w:val="22"/>
        </w:rPr>
      </w:pPr>
      <w:proofErr w:type="gramStart"/>
      <w:r>
        <w:rPr>
          <w:rFonts w:asciiTheme="minorHAnsi" w:hAnsiTheme="minorHAnsi" w:cs="Tahoma"/>
          <w:sz w:val="22"/>
          <w:szCs w:val="22"/>
        </w:rPr>
        <w:t>S</w:t>
      </w:r>
      <w:r w:rsidR="00CB6644" w:rsidRPr="00CB6644">
        <w:rPr>
          <w:rFonts w:asciiTheme="minorHAnsi" w:hAnsiTheme="minorHAnsi" w:cs="Tahoma"/>
          <w:sz w:val="22"/>
          <w:szCs w:val="22"/>
        </w:rPr>
        <w:t>taff</w:t>
      </w:r>
      <w:proofErr w:type="gramEnd"/>
      <w:r w:rsidR="00CB6644" w:rsidRPr="00CB6644">
        <w:rPr>
          <w:rFonts w:asciiTheme="minorHAnsi" w:hAnsiTheme="minorHAnsi" w:cs="Tahoma"/>
          <w:sz w:val="22"/>
          <w:szCs w:val="22"/>
        </w:rPr>
        <w:t xml:space="preserve"> who score </w:t>
      </w:r>
      <w:r w:rsidR="00CB6644" w:rsidRPr="00CB6644">
        <w:rPr>
          <w:rFonts w:asciiTheme="minorHAnsi" w:hAnsiTheme="minorHAnsi" w:cs="Tahoma"/>
          <w:i/>
          <w:sz w:val="22"/>
          <w:szCs w:val="22"/>
        </w:rPr>
        <w:t>less</w:t>
      </w:r>
      <w:r w:rsidR="00CB6644" w:rsidRPr="00CB6644">
        <w:rPr>
          <w:rFonts w:asciiTheme="minorHAnsi" w:hAnsiTheme="minorHAnsi" w:cs="Tahoma"/>
          <w:sz w:val="22"/>
          <w:szCs w:val="22"/>
        </w:rPr>
        <w:t xml:space="preserve"> than the range for their rank are </w:t>
      </w:r>
      <w:r w:rsidR="00CB6644">
        <w:rPr>
          <w:rFonts w:asciiTheme="minorHAnsi" w:hAnsiTheme="minorHAnsi" w:cs="Tahoma"/>
          <w:sz w:val="22"/>
          <w:szCs w:val="22"/>
        </w:rPr>
        <w:t xml:space="preserve">performing at </w:t>
      </w:r>
      <w:r w:rsidR="00CB6644" w:rsidRPr="00CB6644">
        <w:rPr>
          <w:rFonts w:asciiTheme="minorHAnsi" w:hAnsiTheme="minorHAnsi" w:cs="Tahoma"/>
          <w:b/>
          <w:sz w:val="22"/>
          <w:szCs w:val="22"/>
        </w:rPr>
        <w:t>under-performance</w:t>
      </w:r>
      <w:r w:rsidR="00CB6644" w:rsidRPr="00CB6644">
        <w:rPr>
          <w:rFonts w:asciiTheme="minorHAnsi" w:hAnsiTheme="minorHAnsi" w:cs="Tahoma"/>
          <w:sz w:val="22"/>
          <w:szCs w:val="22"/>
        </w:rPr>
        <w:t xml:space="preserve"> level.  </w:t>
      </w:r>
      <w:r w:rsidR="008556BA">
        <w:rPr>
          <w:rFonts w:asciiTheme="minorHAnsi" w:hAnsiTheme="minorHAnsi" w:cs="Tahoma"/>
          <w:sz w:val="22"/>
          <w:szCs w:val="22"/>
        </w:rPr>
        <w:t>U</w:t>
      </w:r>
      <w:r w:rsidR="008556BA" w:rsidRPr="00CB6644">
        <w:rPr>
          <w:rFonts w:asciiTheme="minorHAnsi" w:hAnsiTheme="minorHAnsi" w:cs="Tahoma"/>
          <w:sz w:val="22"/>
          <w:szCs w:val="22"/>
        </w:rPr>
        <w:t>nder</w:t>
      </w:r>
      <w:r w:rsidR="008556BA">
        <w:rPr>
          <w:rFonts w:asciiTheme="minorHAnsi" w:hAnsiTheme="minorHAnsi" w:cs="Tahoma"/>
          <w:sz w:val="22"/>
          <w:szCs w:val="22"/>
        </w:rPr>
        <w:t>-</w:t>
      </w:r>
      <w:r w:rsidR="008556BA" w:rsidRPr="00CB6644">
        <w:rPr>
          <w:rFonts w:asciiTheme="minorHAnsi" w:hAnsiTheme="minorHAnsi" w:cs="Tahoma"/>
          <w:sz w:val="22"/>
          <w:szCs w:val="22"/>
        </w:rPr>
        <w:t>performance will be addressed via the procedures for addressing underperformance or unsatisfactory performance.</w:t>
      </w:r>
    </w:p>
    <w:p w:rsidR="00CB6644" w:rsidRPr="00CB6644" w:rsidRDefault="00CB6644" w:rsidP="00CB6644">
      <w:pPr>
        <w:jc w:val="both"/>
        <w:rPr>
          <w:rFonts w:asciiTheme="minorHAnsi" w:hAnsiTheme="minorHAnsi" w:cs="Tahoma"/>
          <w:sz w:val="22"/>
          <w:szCs w:val="22"/>
        </w:rPr>
      </w:pPr>
    </w:p>
    <w:p w:rsidR="00CB6644" w:rsidRPr="00CB6644" w:rsidRDefault="00CB6644" w:rsidP="00CB6644">
      <w:pPr>
        <w:jc w:val="both"/>
        <w:rPr>
          <w:rFonts w:asciiTheme="minorHAnsi" w:hAnsiTheme="minorHAnsi" w:cs="Tahoma"/>
          <w:sz w:val="22"/>
          <w:szCs w:val="22"/>
        </w:rPr>
      </w:pPr>
      <w:r w:rsidRPr="00CB6644">
        <w:rPr>
          <w:rFonts w:asciiTheme="minorHAnsi" w:hAnsiTheme="minorHAnsi" w:cs="Tahoma"/>
          <w:sz w:val="22"/>
          <w:szCs w:val="22"/>
        </w:rPr>
        <w:t xml:space="preserve">Scores in the following ranges will </w:t>
      </w:r>
      <w:r>
        <w:rPr>
          <w:rFonts w:asciiTheme="minorHAnsi" w:hAnsiTheme="minorHAnsi" w:cs="Tahoma"/>
          <w:sz w:val="22"/>
          <w:szCs w:val="22"/>
        </w:rPr>
        <w:t>be deemed to be performing at</w:t>
      </w:r>
      <w:r w:rsidRPr="00CB6644">
        <w:rPr>
          <w:rFonts w:asciiTheme="minorHAnsi" w:hAnsiTheme="minorHAnsi" w:cs="Tahoma"/>
          <w:sz w:val="22"/>
          <w:szCs w:val="22"/>
        </w:rPr>
        <w:t xml:space="preserve"> </w:t>
      </w:r>
      <w:r w:rsidRPr="00CB6644">
        <w:rPr>
          <w:rFonts w:asciiTheme="minorHAnsi" w:hAnsiTheme="minorHAnsi" w:cs="Tahoma"/>
          <w:b/>
          <w:sz w:val="22"/>
          <w:szCs w:val="22"/>
        </w:rPr>
        <w:t>unsatisfactory</w:t>
      </w:r>
      <w:r w:rsidRPr="00CB6644">
        <w:rPr>
          <w:rFonts w:asciiTheme="minorHAnsi" w:hAnsiTheme="minorHAnsi" w:cs="Tahoma"/>
          <w:sz w:val="22"/>
          <w:szCs w:val="22"/>
        </w:rPr>
        <w:t xml:space="preserve"> level.</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 Lecturer - weighted score of less than 40</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Senior Lecturer - weighted score of less than 50</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Associate Professor - weighted score of less than 60</w:t>
      </w:r>
    </w:p>
    <w:p w:rsidR="00CB6644" w:rsidRPr="00CB6644" w:rsidRDefault="00CB6644" w:rsidP="00CB6644">
      <w:pPr>
        <w:ind w:left="720"/>
        <w:jc w:val="both"/>
        <w:rPr>
          <w:rFonts w:asciiTheme="minorHAnsi" w:hAnsiTheme="minorHAnsi" w:cs="Tahoma"/>
          <w:sz w:val="22"/>
          <w:szCs w:val="22"/>
        </w:rPr>
      </w:pPr>
      <w:r w:rsidRPr="00CB6644">
        <w:rPr>
          <w:rFonts w:asciiTheme="minorHAnsi" w:hAnsiTheme="minorHAnsi" w:cs="Tahoma"/>
          <w:sz w:val="22"/>
          <w:szCs w:val="22"/>
        </w:rPr>
        <w:t>Professor - weighted score of less than 70</w:t>
      </w:r>
    </w:p>
    <w:p w:rsidR="002B405A" w:rsidRDefault="001C4FB8" w:rsidP="00DE5D98">
      <w:pPr>
        <w:spacing w:line="320" w:lineRule="atLeast"/>
        <w:jc w:val="both"/>
        <w:rPr>
          <w:rFonts w:asciiTheme="minorHAnsi" w:hAnsiTheme="minorHAnsi"/>
          <w:b/>
          <w:szCs w:val="22"/>
        </w:rPr>
      </w:pPr>
      <w:r>
        <w:rPr>
          <w:rFonts w:asciiTheme="minorHAnsi" w:hAnsiTheme="minorHAnsi" w:cs="Tahoma"/>
          <w:sz w:val="22"/>
          <w:szCs w:val="22"/>
        </w:rPr>
        <w:t>U</w:t>
      </w:r>
      <w:r w:rsidRPr="00CB6644">
        <w:rPr>
          <w:rFonts w:asciiTheme="minorHAnsi" w:hAnsiTheme="minorHAnsi" w:cs="Tahoma"/>
          <w:sz w:val="22"/>
          <w:szCs w:val="22"/>
        </w:rPr>
        <w:t>n</w:t>
      </w:r>
      <w:r>
        <w:rPr>
          <w:rFonts w:asciiTheme="minorHAnsi" w:hAnsiTheme="minorHAnsi" w:cs="Tahoma"/>
          <w:sz w:val="22"/>
          <w:szCs w:val="22"/>
        </w:rPr>
        <w:t xml:space="preserve">satisfactory </w:t>
      </w:r>
      <w:r w:rsidRPr="00CB6644">
        <w:rPr>
          <w:rFonts w:asciiTheme="minorHAnsi" w:hAnsiTheme="minorHAnsi" w:cs="Tahoma"/>
          <w:sz w:val="22"/>
          <w:szCs w:val="22"/>
        </w:rPr>
        <w:t>performance will be addressed via the procedures for addressing underperformance or unsatisfactory performance.</w:t>
      </w:r>
    </w:p>
    <w:p w:rsidR="001C4FB8" w:rsidRDefault="001C4FB8" w:rsidP="002B405A">
      <w:pPr>
        <w:rPr>
          <w:rFonts w:asciiTheme="minorHAnsi" w:hAnsiTheme="minorHAnsi"/>
          <w:b/>
          <w:szCs w:val="22"/>
        </w:rPr>
      </w:pPr>
    </w:p>
    <w:p w:rsidR="002B405A" w:rsidRPr="00EF6238" w:rsidRDefault="002B405A" w:rsidP="002B405A">
      <w:pPr>
        <w:rPr>
          <w:rFonts w:asciiTheme="minorHAnsi" w:hAnsiTheme="minorHAnsi"/>
          <w:b/>
          <w:color w:val="FF0000"/>
          <w:szCs w:val="22"/>
        </w:rPr>
      </w:pPr>
      <w:r>
        <w:rPr>
          <w:rFonts w:asciiTheme="minorHAnsi" w:hAnsiTheme="minorHAnsi"/>
          <w:b/>
          <w:szCs w:val="22"/>
        </w:rPr>
        <w:t>Health Sciences</w:t>
      </w:r>
      <w:r w:rsidR="00EF6238">
        <w:rPr>
          <w:rFonts w:asciiTheme="minorHAnsi" w:hAnsiTheme="minorHAnsi"/>
          <w:b/>
          <w:szCs w:val="22"/>
        </w:rPr>
        <w:t xml:space="preserve"> </w:t>
      </w:r>
    </w:p>
    <w:p w:rsidR="00F1536F" w:rsidRDefault="00F1536F" w:rsidP="00F1536F">
      <w:pPr>
        <w:rPr>
          <w:rFonts w:asciiTheme="minorHAnsi" w:hAnsiTheme="minorHAnsi"/>
          <w:b/>
          <w:sz w:val="22"/>
          <w:szCs w:val="22"/>
        </w:rPr>
      </w:pPr>
    </w:p>
    <w:p w:rsidR="00811316" w:rsidRDefault="00811316" w:rsidP="00DE5D98">
      <w:pPr>
        <w:pStyle w:val="BodyText"/>
        <w:spacing w:before="0" w:after="0" w:line="320" w:lineRule="atLeast"/>
        <w:rPr>
          <w:rFonts w:asciiTheme="minorHAnsi" w:hAnsiTheme="minorHAnsi"/>
        </w:rPr>
      </w:pPr>
      <w:r w:rsidRPr="00811316">
        <w:rPr>
          <w:rFonts w:asciiTheme="minorHAnsi" w:hAnsiTheme="minorHAnsi"/>
        </w:rPr>
        <w:t>Staff are assessed with reference to four categories of work: (1) teaching and learning; (2) research; (3) University leadership and administration; and (4) social responsiveness</w:t>
      </w:r>
      <w:r w:rsidR="0000422D">
        <w:rPr>
          <w:rFonts w:asciiTheme="minorHAnsi" w:hAnsiTheme="minorHAnsi"/>
        </w:rPr>
        <w:t>,</w:t>
      </w:r>
      <w:r w:rsidR="00FE4E77">
        <w:rPr>
          <w:rFonts w:asciiTheme="minorHAnsi" w:hAnsiTheme="minorHAnsi"/>
        </w:rPr>
        <w:t xml:space="preserve"> </w:t>
      </w:r>
      <w:r w:rsidR="00FE4E77" w:rsidRPr="00FE4E77">
        <w:rPr>
          <w:rFonts w:asciiTheme="minorHAnsi" w:hAnsiTheme="minorHAnsi"/>
        </w:rPr>
        <w:t>and are based on the ad hominem promotion guide</w:t>
      </w:r>
      <w:r w:rsidRPr="00811316">
        <w:rPr>
          <w:rFonts w:asciiTheme="minorHAnsi" w:hAnsiTheme="minorHAnsi"/>
        </w:rPr>
        <w:t xml:space="preserve">. This last category includes clinical service, community outreach and policy input. </w:t>
      </w:r>
      <w:proofErr w:type="gramStart"/>
      <w:r w:rsidRPr="00811316">
        <w:rPr>
          <w:rFonts w:asciiTheme="minorHAnsi" w:hAnsiTheme="minorHAnsi"/>
        </w:rPr>
        <w:t>Staff are</w:t>
      </w:r>
      <w:proofErr w:type="gramEnd"/>
      <w:r w:rsidRPr="00811316">
        <w:rPr>
          <w:rFonts w:asciiTheme="minorHAnsi" w:hAnsiTheme="minorHAnsi"/>
        </w:rPr>
        <w:t xml:space="preserve"> required to choose how to weight these four categories to reflect the balance of their own particular workload. Each category has a minimum and a maximum weighting as follows:</w:t>
      </w:r>
    </w:p>
    <w:p w:rsidR="00310A52" w:rsidRPr="00811316" w:rsidRDefault="00310A52" w:rsidP="00DE5D98">
      <w:pPr>
        <w:pStyle w:val="BodyText"/>
        <w:spacing w:before="0" w:after="0" w:line="320" w:lineRule="atLeast"/>
        <w:rPr>
          <w:rFonts w:asciiTheme="minorHAnsi" w:hAnsiTheme="minorHAnsi"/>
        </w:rPr>
      </w:pPr>
    </w:p>
    <w:tbl>
      <w:tblPr>
        <w:tblW w:w="0" w:type="auto"/>
        <w:tblInd w:w="1154" w:type="dxa"/>
        <w:tblLayout w:type="fixed"/>
        <w:tblLook w:val="0000"/>
      </w:tblPr>
      <w:tblGrid>
        <w:gridCol w:w="3936"/>
        <w:gridCol w:w="1539"/>
        <w:gridCol w:w="2126"/>
      </w:tblGrid>
      <w:tr w:rsidR="00811316" w:rsidRPr="00811316" w:rsidTr="00811316">
        <w:trPr>
          <w:trHeight w:hRule="exact" w:val="340"/>
        </w:trPr>
        <w:tc>
          <w:tcPr>
            <w:tcW w:w="3936" w:type="dxa"/>
            <w:tcBorders>
              <w:top w:val="nil"/>
              <w:left w:val="nil"/>
              <w:bottom w:val="nil"/>
              <w:right w:val="nil"/>
            </w:tcBorders>
            <w:vAlign w:val="bottom"/>
          </w:tcPr>
          <w:p w:rsidR="00811316" w:rsidRPr="00811316" w:rsidRDefault="00811316" w:rsidP="00A61380">
            <w:pPr>
              <w:spacing w:line="480" w:lineRule="auto"/>
              <w:rPr>
                <w:rFonts w:asciiTheme="minorHAnsi" w:hAnsiTheme="minorHAnsi" w:cs="Arial"/>
                <w:b/>
              </w:rPr>
            </w:pPr>
            <w:r w:rsidRPr="00811316">
              <w:rPr>
                <w:rFonts w:asciiTheme="minorHAnsi" w:hAnsiTheme="minorHAnsi" w:cs="Arial"/>
                <w:b/>
                <w:sz w:val="22"/>
                <w:szCs w:val="22"/>
              </w:rPr>
              <w:lastRenderedPageBreak/>
              <w:t>Category</w:t>
            </w:r>
          </w:p>
        </w:tc>
        <w:tc>
          <w:tcPr>
            <w:tcW w:w="1539" w:type="dxa"/>
            <w:tcBorders>
              <w:top w:val="nil"/>
              <w:left w:val="nil"/>
              <w:bottom w:val="nil"/>
              <w:right w:val="nil"/>
            </w:tcBorders>
            <w:vAlign w:val="center"/>
          </w:tcPr>
          <w:p w:rsidR="00811316" w:rsidRPr="00811316" w:rsidRDefault="00811316" w:rsidP="00A61380">
            <w:pPr>
              <w:pStyle w:val="Heading2"/>
              <w:spacing w:line="480" w:lineRule="auto"/>
              <w:rPr>
                <w:rFonts w:asciiTheme="minorHAnsi" w:hAnsiTheme="minorHAnsi" w:cs="Arial"/>
                <w:bCs/>
                <w:sz w:val="22"/>
              </w:rPr>
            </w:pPr>
            <w:r w:rsidRPr="00811316">
              <w:rPr>
                <w:rFonts w:asciiTheme="minorHAnsi" w:hAnsiTheme="minorHAnsi" w:cs="Arial"/>
                <w:bCs/>
                <w:sz w:val="22"/>
                <w:szCs w:val="22"/>
              </w:rPr>
              <w:t>Weighting</w:t>
            </w:r>
          </w:p>
        </w:tc>
        <w:tc>
          <w:tcPr>
            <w:tcW w:w="2126"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b/>
              </w:rPr>
            </w:pPr>
            <w:r w:rsidRPr="00811316">
              <w:rPr>
                <w:rFonts w:asciiTheme="minorHAnsi" w:hAnsiTheme="minorHAnsi" w:cs="Arial"/>
                <w:b/>
                <w:sz w:val="22"/>
                <w:szCs w:val="22"/>
              </w:rPr>
              <w:t xml:space="preserve">Points Score </w:t>
            </w:r>
          </w:p>
        </w:tc>
      </w:tr>
      <w:tr w:rsidR="00811316" w:rsidRPr="00811316" w:rsidTr="00811316">
        <w:trPr>
          <w:trHeight w:hRule="exact" w:val="340"/>
        </w:trPr>
        <w:tc>
          <w:tcPr>
            <w:tcW w:w="3936"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Teaching and learning</w:t>
            </w:r>
          </w:p>
        </w:tc>
        <w:tc>
          <w:tcPr>
            <w:tcW w:w="1539"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2 – 5</w:t>
            </w:r>
          </w:p>
        </w:tc>
        <w:tc>
          <w:tcPr>
            <w:tcW w:w="2126"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1 – 10</w:t>
            </w:r>
          </w:p>
        </w:tc>
      </w:tr>
      <w:tr w:rsidR="00811316" w:rsidRPr="00811316" w:rsidTr="00811316">
        <w:trPr>
          <w:trHeight w:hRule="exact" w:val="340"/>
        </w:trPr>
        <w:tc>
          <w:tcPr>
            <w:tcW w:w="3936"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Research</w:t>
            </w:r>
          </w:p>
        </w:tc>
        <w:tc>
          <w:tcPr>
            <w:tcW w:w="1539"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2 – 5</w:t>
            </w:r>
          </w:p>
        </w:tc>
        <w:tc>
          <w:tcPr>
            <w:tcW w:w="2126"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1 – 10</w:t>
            </w:r>
          </w:p>
        </w:tc>
      </w:tr>
      <w:tr w:rsidR="00811316" w:rsidRPr="00811316" w:rsidTr="00811316">
        <w:trPr>
          <w:trHeight w:hRule="exact" w:val="340"/>
        </w:trPr>
        <w:tc>
          <w:tcPr>
            <w:tcW w:w="3936"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Leadership and administration</w:t>
            </w:r>
          </w:p>
        </w:tc>
        <w:tc>
          <w:tcPr>
            <w:tcW w:w="1539"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1 – 5</w:t>
            </w:r>
          </w:p>
        </w:tc>
        <w:tc>
          <w:tcPr>
            <w:tcW w:w="2126"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1 – 10</w:t>
            </w:r>
          </w:p>
        </w:tc>
      </w:tr>
      <w:tr w:rsidR="00811316" w:rsidRPr="00811316" w:rsidTr="00811316">
        <w:trPr>
          <w:trHeight w:hRule="exact" w:val="340"/>
        </w:trPr>
        <w:tc>
          <w:tcPr>
            <w:tcW w:w="3936"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 xml:space="preserve">Social responsiveness </w:t>
            </w:r>
          </w:p>
        </w:tc>
        <w:tc>
          <w:tcPr>
            <w:tcW w:w="1539"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1 – 5</w:t>
            </w:r>
          </w:p>
        </w:tc>
        <w:tc>
          <w:tcPr>
            <w:tcW w:w="2126"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1 – 10</w:t>
            </w:r>
          </w:p>
        </w:tc>
      </w:tr>
    </w:tbl>
    <w:p w:rsidR="00811316" w:rsidRPr="00811316" w:rsidRDefault="00811316" w:rsidP="00DE5D98">
      <w:pPr>
        <w:pStyle w:val="BodyText"/>
        <w:spacing w:before="0" w:after="0" w:line="320" w:lineRule="atLeast"/>
        <w:rPr>
          <w:rFonts w:asciiTheme="minorHAnsi" w:hAnsiTheme="minorHAnsi"/>
        </w:rPr>
      </w:pPr>
      <w:r w:rsidRPr="00811316">
        <w:rPr>
          <w:rFonts w:asciiTheme="minorHAnsi" w:hAnsiTheme="minorHAnsi"/>
        </w:rPr>
        <w:t xml:space="preserve">The chosen weightings </w:t>
      </w:r>
      <w:r w:rsidRPr="00811316">
        <w:rPr>
          <w:rFonts w:asciiTheme="minorHAnsi" w:hAnsiTheme="minorHAnsi"/>
          <w:b/>
        </w:rPr>
        <w:t>must add up to a total of 10</w:t>
      </w:r>
      <w:r w:rsidRPr="00811316">
        <w:rPr>
          <w:rFonts w:asciiTheme="minorHAnsi" w:hAnsiTheme="minorHAnsi"/>
        </w:rPr>
        <w:t xml:space="preserve">. The points scored by a candidate in the four categories are then multiplied by the weighting for that category. This results in a final score of between 1 and 100. </w:t>
      </w:r>
    </w:p>
    <w:tbl>
      <w:tblPr>
        <w:tblW w:w="0" w:type="auto"/>
        <w:tblInd w:w="1116" w:type="dxa"/>
        <w:tblLayout w:type="fixed"/>
        <w:tblLook w:val="0000"/>
      </w:tblPr>
      <w:tblGrid>
        <w:gridCol w:w="3528"/>
        <w:gridCol w:w="2552"/>
      </w:tblGrid>
      <w:tr w:rsidR="00811316" w:rsidRPr="00811316" w:rsidTr="00E334C9">
        <w:trPr>
          <w:trHeight w:hRule="exact" w:val="340"/>
        </w:trPr>
        <w:tc>
          <w:tcPr>
            <w:tcW w:w="3528"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b/>
              </w:rPr>
            </w:pPr>
            <w:r w:rsidRPr="00811316">
              <w:rPr>
                <w:rFonts w:asciiTheme="minorHAnsi" w:hAnsiTheme="minorHAnsi" w:cs="Arial"/>
                <w:b/>
                <w:sz w:val="22"/>
                <w:szCs w:val="22"/>
              </w:rPr>
              <w:t>Rank</w:t>
            </w:r>
          </w:p>
        </w:tc>
        <w:tc>
          <w:tcPr>
            <w:tcW w:w="2552"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b/>
              </w:rPr>
            </w:pPr>
            <w:r w:rsidRPr="00811316">
              <w:rPr>
                <w:rFonts w:asciiTheme="minorHAnsi" w:hAnsiTheme="minorHAnsi" w:cs="Arial"/>
                <w:b/>
                <w:sz w:val="22"/>
                <w:szCs w:val="22"/>
              </w:rPr>
              <w:t xml:space="preserve">Points Score </w:t>
            </w:r>
          </w:p>
        </w:tc>
      </w:tr>
      <w:tr w:rsidR="00811316" w:rsidRPr="00811316" w:rsidTr="00E334C9">
        <w:trPr>
          <w:trHeight w:hRule="exact" w:val="340"/>
        </w:trPr>
        <w:tc>
          <w:tcPr>
            <w:tcW w:w="3528"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Full Professor</w:t>
            </w:r>
          </w:p>
        </w:tc>
        <w:tc>
          <w:tcPr>
            <w:tcW w:w="2552"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80+</w:t>
            </w:r>
          </w:p>
        </w:tc>
      </w:tr>
      <w:tr w:rsidR="00811316" w:rsidRPr="00811316" w:rsidTr="00E334C9">
        <w:trPr>
          <w:trHeight w:hRule="exact" w:val="340"/>
        </w:trPr>
        <w:tc>
          <w:tcPr>
            <w:tcW w:w="3528"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Associate Professor</w:t>
            </w:r>
          </w:p>
        </w:tc>
        <w:tc>
          <w:tcPr>
            <w:tcW w:w="2552"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70 – 80</w:t>
            </w:r>
          </w:p>
        </w:tc>
      </w:tr>
      <w:tr w:rsidR="00811316" w:rsidRPr="00811316" w:rsidTr="00E334C9">
        <w:trPr>
          <w:trHeight w:hRule="exact" w:val="340"/>
        </w:trPr>
        <w:tc>
          <w:tcPr>
            <w:tcW w:w="3528"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Senior Lecturer</w:t>
            </w:r>
          </w:p>
        </w:tc>
        <w:tc>
          <w:tcPr>
            <w:tcW w:w="2552"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60 – 70</w:t>
            </w:r>
          </w:p>
        </w:tc>
      </w:tr>
      <w:tr w:rsidR="00811316" w:rsidRPr="00811316" w:rsidTr="00E334C9">
        <w:trPr>
          <w:trHeight w:hRule="exact" w:val="340"/>
        </w:trPr>
        <w:tc>
          <w:tcPr>
            <w:tcW w:w="3528" w:type="dxa"/>
            <w:tcBorders>
              <w:top w:val="nil"/>
              <w:left w:val="nil"/>
              <w:bottom w:val="nil"/>
              <w:right w:val="nil"/>
            </w:tcBorders>
            <w:vAlign w:val="center"/>
          </w:tcPr>
          <w:p w:rsidR="00811316" w:rsidRPr="00811316" w:rsidRDefault="00811316" w:rsidP="00A61380">
            <w:pPr>
              <w:spacing w:line="480" w:lineRule="auto"/>
              <w:rPr>
                <w:rFonts w:asciiTheme="minorHAnsi" w:hAnsiTheme="minorHAnsi" w:cs="Arial"/>
              </w:rPr>
            </w:pPr>
            <w:r w:rsidRPr="00811316">
              <w:rPr>
                <w:rFonts w:asciiTheme="minorHAnsi" w:hAnsiTheme="minorHAnsi" w:cs="Arial"/>
                <w:sz w:val="22"/>
                <w:szCs w:val="22"/>
              </w:rPr>
              <w:t>Lecturer</w:t>
            </w:r>
          </w:p>
        </w:tc>
        <w:tc>
          <w:tcPr>
            <w:tcW w:w="2552" w:type="dxa"/>
            <w:tcBorders>
              <w:top w:val="nil"/>
              <w:left w:val="nil"/>
              <w:bottom w:val="nil"/>
              <w:right w:val="nil"/>
            </w:tcBorders>
            <w:vAlign w:val="center"/>
          </w:tcPr>
          <w:p w:rsidR="00811316" w:rsidRPr="00811316" w:rsidRDefault="00811316" w:rsidP="00A61380">
            <w:pPr>
              <w:spacing w:line="480" w:lineRule="auto"/>
              <w:jc w:val="center"/>
              <w:rPr>
                <w:rFonts w:asciiTheme="minorHAnsi" w:hAnsiTheme="minorHAnsi" w:cs="Arial"/>
              </w:rPr>
            </w:pPr>
            <w:r w:rsidRPr="00811316">
              <w:rPr>
                <w:rFonts w:asciiTheme="minorHAnsi" w:hAnsiTheme="minorHAnsi" w:cs="Arial"/>
                <w:sz w:val="22"/>
                <w:szCs w:val="22"/>
              </w:rPr>
              <w:t>50 – 60</w:t>
            </w:r>
          </w:p>
        </w:tc>
      </w:tr>
    </w:tbl>
    <w:p w:rsidR="00F1536F" w:rsidRPr="00FE4E77" w:rsidRDefault="00F1536F" w:rsidP="00F1536F">
      <w:pPr>
        <w:rPr>
          <w:rFonts w:asciiTheme="minorHAnsi" w:hAnsiTheme="minorHAnsi"/>
          <w:b/>
          <w:sz w:val="22"/>
          <w:szCs w:val="22"/>
        </w:rPr>
      </w:pPr>
    </w:p>
    <w:p w:rsidR="00FE4E77" w:rsidRPr="00FE4E77" w:rsidRDefault="00FE4E77" w:rsidP="00FE4E77">
      <w:pPr>
        <w:rPr>
          <w:rFonts w:asciiTheme="minorHAnsi" w:hAnsiTheme="minorHAnsi" w:cs="Arial"/>
          <w:sz w:val="22"/>
          <w:szCs w:val="20"/>
        </w:rPr>
      </w:pPr>
      <w:r w:rsidRPr="00FE4E77">
        <w:rPr>
          <w:rFonts w:asciiTheme="minorHAnsi" w:hAnsiTheme="minorHAnsi" w:cs="Arial"/>
          <w:sz w:val="22"/>
          <w:szCs w:val="20"/>
        </w:rPr>
        <w:t>Performance will be based on the aggregate score.  The weighting and scoring formula de facto dictates an automatic minimum score for each area of performance, while at the same time allowing for the flexibility necessary in a faculty with widely diversifying job descriptions and requirements.</w:t>
      </w:r>
      <w:r w:rsidR="00B802CD">
        <w:rPr>
          <w:rStyle w:val="FootnoteReference"/>
          <w:rFonts w:asciiTheme="minorHAnsi" w:hAnsiTheme="minorHAnsi" w:cs="Arial"/>
          <w:sz w:val="22"/>
          <w:szCs w:val="20"/>
        </w:rPr>
        <w:footnoteReference w:id="5"/>
      </w:r>
    </w:p>
    <w:p w:rsidR="00FE4E77" w:rsidRPr="00FE4E77" w:rsidRDefault="00FE4E77" w:rsidP="00FE4E77">
      <w:pPr>
        <w:rPr>
          <w:rFonts w:asciiTheme="minorHAnsi" w:hAnsiTheme="minorHAnsi" w:cs="Arial"/>
          <w:sz w:val="22"/>
          <w:szCs w:val="20"/>
        </w:rPr>
      </w:pPr>
    </w:p>
    <w:p w:rsidR="00FE4E77" w:rsidRPr="00FE4E77" w:rsidRDefault="00FE4E77" w:rsidP="00FE4E77">
      <w:pPr>
        <w:rPr>
          <w:rFonts w:asciiTheme="minorHAnsi" w:hAnsiTheme="minorHAnsi" w:cs="Arial"/>
          <w:sz w:val="22"/>
          <w:szCs w:val="20"/>
        </w:rPr>
      </w:pPr>
      <w:r w:rsidRPr="00FE4E77">
        <w:rPr>
          <w:rFonts w:asciiTheme="minorHAnsi" w:hAnsiTheme="minorHAnsi" w:cs="Arial"/>
          <w:sz w:val="22"/>
          <w:szCs w:val="20"/>
        </w:rPr>
        <w:t xml:space="preserve">Staff will be deemed to be performing at the </w:t>
      </w:r>
      <w:r w:rsidRPr="00FE4E77">
        <w:rPr>
          <w:rFonts w:asciiTheme="minorHAnsi" w:hAnsiTheme="minorHAnsi" w:cs="Arial"/>
          <w:b/>
          <w:sz w:val="22"/>
          <w:szCs w:val="20"/>
        </w:rPr>
        <w:t xml:space="preserve">expected </w:t>
      </w:r>
      <w:r w:rsidRPr="00FE4E77">
        <w:rPr>
          <w:rFonts w:asciiTheme="minorHAnsi" w:hAnsiTheme="minorHAnsi" w:cs="Arial"/>
          <w:sz w:val="22"/>
          <w:szCs w:val="20"/>
        </w:rPr>
        <w:t xml:space="preserve">level if they score within the range of their level.  </w:t>
      </w:r>
      <w:proofErr w:type="gramStart"/>
      <w:r w:rsidRPr="00FE4E77">
        <w:rPr>
          <w:rFonts w:asciiTheme="minorHAnsi" w:hAnsiTheme="minorHAnsi" w:cs="Arial"/>
          <w:sz w:val="22"/>
          <w:szCs w:val="20"/>
        </w:rPr>
        <w:t>Staff scoring 5 points lower</w:t>
      </w:r>
      <w:proofErr w:type="gramEnd"/>
      <w:r w:rsidRPr="00FE4E77">
        <w:rPr>
          <w:rFonts w:asciiTheme="minorHAnsi" w:hAnsiTheme="minorHAnsi" w:cs="Arial"/>
          <w:sz w:val="22"/>
          <w:szCs w:val="20"/>
        </w:rPr>
        <w:t xml:space="preserve"> than the level point will be considered to be </w:t>
      </w:r>
      <w:r w:rsidRPr="00FE4E77">
        <w:rPr>
          <w:rFonts w:asciiTheme="minorHAnsi" w:hAnsiTheme="minorHAnsi" w:cs="Arial"/>
          <w:b/>
          <w:sz w:val="22"/>
          <w:szCs w:val="20"/>
        </w:rPr>
        <w:t>underperforming</w:t>
      </w:r>
      <w:r w:rsidRPr="00FE4E77">
        <w:rPr>
          <w:rFonts w:asciiTheme="minorHAnsi" w:hAnsiTheme="minorHAnsi" w:cs="Arial"/>
          <w:sz w:val="22"/>
          <w:szCs w:val="20"/>
        </w:rPr>
        <w:t xml:space="preserve">.  Staff scoring more than 5 points below the minimum will be considered to be </w:t>
      </w:r>
      <w:r w:rsidRPr="00FE4E77">
        <w:rPr>
          <w:rFonts w:asciiTheme="minorHAnsi" w:hAnsiTheme="minorHAnsi" w:cs="Arial"/>
          <w:b/>
          <w:sz w:val="22"/>
          <w:szCs w:val="20"/>
        </w:rPr>
        <w:t>unsatisfactory</w:t>
      </w:r>
      <w:r w:rsidRPr="00FE4E77">
        <w:rPr>
          <w:rFonts w:asciiTheme="minorHAnsi" w:hAnsiTheme="minorHAnsi" w:cs="Arial"/>
          <w:sz w:val="22"/>
          <w:szCs w:val="20"/>
        </w:rPr>
        <w:t>.</w:t>
      </w:r>
    </w:p>
    <w:p w:rsidR="000860AE" w:rsidRPr="00F1536F" w:rsidRDefault="000860AE" w:rsidP="00F1536F">
      <w:pPr>
        <w:rPr>
          <w:rFonts w:asciiTheme="minorHAnsi" w:hAnsiTheme="minorHAnsi"/>
          <w:b/>
          <w:sz w:val="22"/>
          <w:szCs w:val="22"/>
        </w:rPr>
      </w:pPr>
    </w:p>
    <w:p w:rsidR="00FF1E87" w:rsidRPr="005D7AF3" w:rsidRDefault="00FF1E87" w:rsidP="00FF1E87">
      <w:pPr>
        <w:rPr>
          <w:rFonts w:asciiTheme="minorHAnsi" w:hAnsiTheme="minorHAnsi"/>
          <w:b/>
          <w:szCs w:val="22"/>
        </w:rPr>
      </w:pPr>
      <w:r w:rsidRPr="005D7AF3">
        <w:rPr>
          <w:rFonts w:asciiTheme="minorHAnsi" w:hAnsiTheme="minorHAnsi"/>
          <w:b/>
          <w:szCs w:val="22"/>
        </w:rPr>
        <w:t>Humanities</w:t>
      </w:r>
    </w:p>
    <w:p w:rsidR="00FF1E87" w:rsidRPr="004C5123" w:rsidRDefault="00FF1E87" w:rsidP="00FF1E87">
      <w:pPr>
        <w:rPr>
          <w:rFonts w:asciiTheme="minorHAnsi" w:hAnsiTheme="minorHAnsi" w:cs="Arial"/>
          <w:sz w:val="22"/>
          <w:szCs w:val="20"/>
        </w:rPr>
      </w:pPr>
    </w:p>
    <w:p w:rsidR="00FF1E87" w:rsidRPr="004C5123" w:rsidRDefault="00FF1E87" w:rsidP="00FF1E87">
      <w:pPr>
        <w:rPr>
          <w:rFonts w:asciiTheme="minorHAnsi" w:hAnsiTheme="minorHAnsi" w:cs="Arial"/>
          <w:sz w:val="22"/>
          <w:szCs w:val="20"/>
        </w:rPr>
      </w:pPr>
      <w:r w:rsidRPr="004C5123">
        <w:rPr>
          <w:rFonts w:asciiTheme="minorHAnsi" w:hAnsiTheme="minorHAnsi" w:cs="Arial"/>
          <w:sz w:val="22"/>
          <w:szCs w:val="20"/>
        </w:rPr>
        <w:t>Staff in any rank will under normal circu</w:t>
      </w:r>
      <w:r w:rsidR="00FE33BC">
        <w:rPr>
          <w:rFonts w:asciiTheme="minorHAnsi" w:hAnsiTheme="minorHAnsi" w:cs="Arial"/>
          <w:sz w:val="22"/>
          <w:szCs w:val="20"/>
        </w:rPr>
        <w:t>mstances be deemed to be performing</w:t>
      </w:r>
      <w:r w:rsidRPr="004C5123">
        <w:rPr>
          <w:rFonts w:asciiTheme="minorHAnsi" w:hAnsiTheme="minorHAnsi" w:cs="Arial"/>
          <w:sz w:val="22"/>
          <w:szCs w:val="20"/>
        </w:rPr>
        <w:t xml:space="preserve"> </w:t>
      </w:r>
      <w:r w:rsidR="00EF6238">
        <w:rPr>
          <w:rFonts w:asciiTheme="minorHAnsi" w:hAnsiTheme="minorHAnsi" w:cs="Arial"/>
          <w:sz w:val="22"/>
          <w:szCs w:val="20"/>
        </w:rPr>
        <w:t xml:space="preserve">at the </w:t>
      </w:r>
      <w:r w:rsidR="00EF6238" w:rsidRPr="00EF6238">
        <w:rPr>
          <w:rFonts w:asciiTheme="minorHAnsi" w:hAnsiTheme="minorHAnsi" w:cs="Arial"/>
          <w:b/>
          <w:sz w:val="22"/>
          <w:szCs w:val="20"/>
        </w:rPr>
        <w:t>expected</w:t>
      </w:r>
      <w:r w:rsidR="00EF6238">
        <w:rPr>
          <w:rFonts w:asciiTheme="minorHAnsi" w:hAnsiTheme="minorHAnsi" w:cs="Arial"/>
          <w:sz w:val="22"/>
          <w:szCs w:val="20"/>
        </w:rPr>
        <w:t xml:space="preserve"> level</w:t>
      </w:r>
      <w:r w:rsidRPr="004C5123">
        <w:rPr>
          <w:rFonts w:asciiTheme="minorHAnsi" w:hAnsiTheme="minorHAnsi" w:cs="Arial"/>
          <w:sz w:val="22"/>
          <w:szCs w:val="20"/>
        </w:rPr>
        <w:t xml:space="preserve"> if they score in the range of 5-7 for </w:t>
      </w:r>
      <w:r w:rsidR="005A0F37">
        <w:rPr>
          <w:rFonts w:asciiTheme="minorHAnsi" w:hAnsiTheme="minorHAnsi" w:cs="Arial"/>
          <w:sz w:val="22"/>
          <w:szCs w:val="20"/>
        </w:rPr>
        <w:t>t</w:t>
      </w:r>
      <w:r w:rsidRPr="004C5123">
        <w:rPr>
          <w:rFonts w:asciiTheme="minorHAnsi" w:hAnsiTheme="minorHAnsi" w:cs="Arial"/>
          <w:sz w:val="22"/>
          <w:szCs w:val="20"/>
        </w:rPr>
        <w:t xml:space="preserve">eaching, 5-7 for </w:t>
      </w:r>
      <w:r w:rsidR="005A0F37">
        <w:rPr>
          <w:rFonts w:asciiTheme="minorHAnsi" w:hAnsiTheme="minorHAnsi" w:cs="Arial"/>
          <w:sz w:val="22"/>
          <w:szCs w:val="20"/>
        </w:rPr>
        <w:t>r</w:t>
      </w:r>
      <w:r w:rsidRPr="004C5123">
        <w:rPr>
          <w:rFonts w:asciiTheme="minorHAnsi" w:hAnsiTheme="minorHAnsi" w:cs="Arial"/>
          <w:sz w:val="22"/>
          <w:szCs w:val="20"/>
        </w:rPr>
        <w:t>esearch, and 5-7 in one of the other categories, giving a tot</w:t>
      </w:r>
      <w:r w:rsidR="00FE33BC">
        <w:rPr>
          <w:rFonts w:asciiTheme="minorHAnsi" w:hAnsiTheme="minorHAnsi" w:cs="Arial"/>
          <w:sz w:val="22"/>
          <w:szCs w:val="20"/>
        </w:rPr>
        <w:t>al score of 15 or more.</w:t>
      </w:r>
    </w:p>
    <w:p w:rsidR="00FF1E87" w:rsidRPr="004C5123" w:rsidRDefault="00FF1E87" w:rsidP="00FF1E87">
      <w:pPr>
        <w:rPr>
          <w:rFonts w:asciiTheme="minorHAnsi" w:hAnsiTheme="minorHAnsi" w:cs="Arial"/>
          <w:sz w:val="22"/>
          <w:szCs w:val="20"/>
        </w:rPr>
      </w:pPr>
    </w:p>
    <w:p w:rsidR="00FF1E87" w:rsidRPr="004C5123" w:rsidRDefault="00FF1E87" w:rsidP="00FF1E87">
      <w:pPr>
        <w:rPr>
          <w:rFonts w:asciiTheme="minorHAnsi" w:hAnsiTheme="minorHAnsi" w:cs="Arial"/>
          <w:sz w:val="22"/>
          <w:szCs w:val="20"/>
        </w:rPr>
      </w:pPr>
      <w:proofErr w:type="gramStart"/>
      <w:r w:rsidRPr="004C5123">
        <w:rPr>
          <w:rFonts w:asciiTheme="minorHAnsi" w:hAnsiTheme="minorHAnsi" w:cs="Arial"/>
          <w:sz w:val="22"/>
          <w:szCs w:val="20"/>
        </w:rPr>
        <w:t>Staff who achieve</w:t>
      </w:r>
      <w:proofErr w:type="gramEnd"/>
      <w:r w:rsidRPr="004C5123">
        <w:rPr>
          <w:rFonts w:asciiTheme="minorHAnsi" w:hAnsiTheme="minorHAnsi" w:cs="Arial"/>
          <w:sz w:val="22"/>
          <w:szCs w:val="20"/>
        </w:rPr>
        <w:t xml:space="preserve"> a total score in the range 6-14 will be deemed to be </w:t>
      </w:r>
      <w:r w:rsidR="00EF6238">
        <w:rPr>
          <w:rFonts w:asciiTheme="minorHAnsi" w:hAnsiTheme="minorHAnsi" w:cs="Arial"/>
          <w:sz w:val="22"/>
          <w:szCs w:val="20"/>
        </w:rPr>
        <w:t xml:space="preserve">performing at </w:t>
      </w:r>
      <w:r w:rsidR="00FE33BC" w:rsidRPr="00EF6238">
        <w:rPr>
          <w:rFonts w:asciiTheme="minorHAnsi" w:hAnsiTheme="minorHAnsi" w:cs="Arial"/>
          <w:b/>
          <w:sz w:val="22"/>
          <w:szCs w:val="20"/>
        </w:rPr>
        <w:t>under-perform</w:t>
      </w:r>
      <w:r w:rsidR="00EF6238" w:rsidRPr="00EF6238">
        <w:rPr>
          <w:rFonts w:asciiTheme="minorHAnsi" w:hAnsiTheme="minorHAnsi" w:cs="Arial"/>
          <w:b/>
          <w:sz w:val="22"/>
          <w:szCs w:val="20"/>
        </w:rPr>
        <w:t>ance</w:t>
      </w:r>
      <w:r w:rsidR="00EF6238">
        <w:rPr>
          <w:rFonts w:asciiTheme="minorHAnsi" w:hAnsiTheme="minorHAnsi" w:cs="Arial"/>
          <w:sz w:val="22"/>
          <w:szCs w:val="20"/>
        </w:rPr>
        <w:t xml:space="preserve"> level</w:t>
      </w:r>
      <w:r w:rsidR="00FE33BC">
        <w:rPr>
          <w:rFonts w:asciiTheme="minorHAnsi" w:hAnsiTheme="minorHAnsi" w:cs="Arial"/>
          <w:sz w:val="22"/>
          <w:szCs w:val="20"/>
        </w:rPr>
        <w:t>.</w:t>
      </w:r>
    </w:p>
    <w:p w:rsidR="00FF1E87" w:rsidRPr="004C5123" w:rsidRDefault="00FF1E87" w:rsidP="00FF1E87">
      <w:pPr>
        <w:ind w:left="720"/>
        <w:rPr>
          <w:rFonts w:asciiTheme="minorHAnsi" w:hAnsiTheme="minorHAnsi" w:cs="Arial"/>
          <w:sz w:val="22"/>
          <w:szCs w:val="20"/>
        </w:rPr>
      </w:pPr>
    </w:p>
    <w:p w:rsidR="00FE33BC" w:rsidRDefault="00FF1E87" w:rsidP="00FF1E87">
      <w:pPr>
        <w:rPr>
          <w:rFonts w:asciiTheme="minorHAnsi" w:hAnsiTheme="minorHAnsi" w:cs="Arial"/>
          <w:sz w:val="22"/>
          <w:szCs w:val="20"/>
        </w:rPr>
      </w:pPr>
      <w:proofErr w:type="gramStart"/>
      <w:r w:rsidRPr="004C5123">
        <w:rPr>
          <w:rFonts w:asciiTheme="minorHAnsi" w:hAnsiTheme="minorHAnsi" w:cs="Arial"/>
          <w:sz w:val="22"/>
          <w:szCs w:val="20"/>
        </w:rPr>
        <w:t>Staff who score</w:t>
      </w:r>
      <w:proofErr w:type="gramEnd"/>
      <w:r w:rsidRPr="004C5123">
        <w:rPr>
          <w:rFonts w:asciiTheme="minorHAnsi" w:hAnsiTheme="minorHAnsi" w:cs="Arial"/>
          <w:sz w:val="22"/>
          <w:szCs w:val="20"/>
        </w:rPr>
        <w:t xml:space="preserve"> less than 6 overall will be deemed to be performing </w:t>
      </w:r>
      <w:r w:rsidR="00EF6238">
        <w:rPr>
          <w:rFonts w:asciiTheme="minorHAnsi" w:hAnsiTheme="minorHAnsi" w:cs="Arial"/>
          <w:sz w:val="22"/>
          <w:szCs w:val="20"/>
        </w:rPr>
        <w:t xml:space="preserve">at </w:t>
      </w:r>
      <w:r w:rsidR="00FE33BC" w:rsidRPr="00EF6238">
        <w:rPr>
          <w:rFonts w:asciiTheme="minorHAnsi" w:hAnsiTheme="minorHAnsi" w:cs="Arial"/>
          <w:b/>
          <w:sz w:val="22"/>
          <w:szCs w:val="20"/>
        </w:rPr>
        <w:t>unsatisfactor</w:t>
      </w:r>
      <w:r w:rsidR="00EF6238" w:rsidRPr="00EF6238">
        <w:rPr>
          <w:rFonts w:asciiTheme="minorHAnsi" w:hAnsiTheme="minorHAnsi" w:cs="Arial"/>
          <w:b/>
          <w:sz w:val="22"/>
          <w:szCs w:val="20"/>
        </w:rPr>
        <w:t>y</w:t>
      </w:r>
      <w:r w:rsidR="00EF6238">
        <w:rPr>
          <w:rFonts w:asciiTheme="minorHAnsi" w:hAnsiTheme="minorHAnsi" w:cs="Arial"/>
          <w:sz w:val="22"/>
          <w:szCs w:val="20"/>
        </w:rPr>
        <w:t xml:space="preserve"> level</w:t>
      </w:r>
      <w:r w:rsidR="00FE33BC">
        <w:rPr>
          <w:rFonts w:asciiTheme="minorHAnsi" w:hAnsiTheme="minorHAnsi" w:cs="Arial"/>
          <w:sz w:val="22"/>
          <w:szCs w:val="20"/>
        </w:rPr>
        <w:t>.</w:t>
      </w:r>
    </w:p>
    <w:p w:rsidR="00FF1E87" w:rsidRDefault="00FF1E87" w:rsidP="00FF1E87">
      <w:pPr>
        <w:rPr>
          <w:rFonts w:asciiTheme="minorHAnsi" w:hAnsiTheme="minorHAnsi" w:cs="Arial"/>
          <w:sz w:val="22"/>
          <w:szCs w:val="20"/>
        </w:rPr>
      </w:pPr>
    </w:p>
    <w:p w:rsidR="00FF1E87" w:rsidRPr="00DE147C" w:rsidRDefault="00FF1E87" w:rsidP="00FF1E87">
      <w:pPr>
        <w:rPr>
          <w:rFonts w:asciiTheme="minorHAnsi" w:hAnsiTheme="minorHAnsi" w:cs="Arial"/>
          <w:i/>
          <w:sz w:val="22"/>
          <w:szCs w:val="20"/>
        </w:rPr>
      </w:pPr>
      <w:r w:rsidRPr="00DE147C">
        <w:rPr>
          <w:rFonts w:asciiTheme="minorHAnsi" w:hAnsiTheme="minorHAnsi" w:cs="Arial"/>
          <w:i/>
          <w:sz w:val="22"/>
          <w:szCs w:val="20"/>
        </w:rPr>
        <w:t>Guidelines to variations from the standard requirements for expected performance</w:t>
      </w:r>
    </w:p>
    <w:p w:rsidR="00FF1E87" w:rsidRDefault="00FF1E87" w:rsidP="00DE5D98">
      <w:pPr>
        <w:spacing w:line="320" w:lineRule="atLeast"/>
        <w:jc w:val="both"/>
        <w:rPr>
          <w:rFonts w:asciiTheme="minorHAnsi" w:hAnsiTheme="minorHAnsi" w:cs="Arial"/>
          <w:sz w:val="22"/>
          <w:szCs w:val="20"/>
        </w:rPr>
      </w:pPr>
      <w:r w:rsidRPr="004C5123">
        <w:rPr>
          <w:rFonts w:asciiTheme="minorHAnsi" w:hAnsiTheme="minorHAnsi" w:cs="Arial"/>
          <w:sz w:val="22"/>
          <w:szCs w:val="20"/>
        </w:rPr>
        <w:t>Heads of Department may negotiate with individual staff members, in consult</w:t>
      </w:r>
      <w:r>
        <w:rPr>
          <w:rFonts w:asciiTheme="minorHAnsi" w:hAnsiTheme="minorHAnsi" w:cs="Arial"/>
          <w:sz w:val="22"/>
          <w:szCs w:val="20"/>
        </w:rPr>
        <w:t>ation with the d</w:t>
      </w:r>
      <w:r w:rsidRPr="004C5123">
        <w:rPr>
          <w:rFonts w:asciiTheme="minorHAnsi" w:hAnsiTheme="minorHAnsi" w:cs="Arial"/>
          <w:sz w:val="22"/>
          <w:szCs w:val="20"/>
        </w:rPr>
        <w:t xml:space="preserve">ean, to vary the minima for teaching and research in order to meet temporary departmental operational requirements. In these cases staff will be deemed to be performing </w:t>
      </w:r>
      <w:r w:rsidR="00EF6238">
        <w:rPr>
          <w:rFonts w:asciiTheme="minorHAnsi" w:hAnsiTheme="minorHAnsi" w:cs="Arial"/>
          <w:sz w:val="22"/>
          <w:szCs w:val="20"/>
        </w:rPr>
        <w:t>at expected level</w:t>
      </w:r>
      <w:r w:rsidRPr="004C5123">
        <w:rPr>
          <w:rFonts w:asciiTheme="minorHAnsi" w:hAnsiTheme="minorHAnsi" w:cs="Arial"/>
          <w:sz w:val="22"/>
          <w:szCs w:val="20"/>
        </w:rPr>
        <w:t xml:space="preserve"> if they achieve an overall score of 15 or more, made up of a score for </w:t>
      </w:r>
      <w:r w:rsidR="005A0F37">
        <w:rPr>
          <w:rFonts w:asciiTheme="minorHAnsi" w:hAnsiTheme="minorHAnsi" w:cs="Arial"/>
          <w:sz w:val="22"/>
          <w:szCs w:val="20"/>
        </w:rPr>
        <w:t>t</w:t>
      </w:r>
      <w:r w:rsidRPr="004C5123">
        <w:rPr>
          <w:rFonts w:asciiTheme="minorHAnsi" w:hAnsiTheme="minorHAnsi" w:cs="Arial"/>
          <w:sz w:val="22"/>
          <w:szCs w:val="20"/>
        </w:rPr>
        <w:t>eaching o</w:t>
      </w:r>
      <w:r>
        <w:rPr>
          <w:rFonts w:asciiTheme="minorHAnsi" w:hAnsiTheme="minorHAnsi" w:cs="Arial"/>
          <w:sz w:val="22"/>
          <w:szCs w:val="20"/>
        </w:rPr>
        <w:t xml:space="preserve">f at least 6, which is doubled, </w:t>
      </w:r>
      <w:r w:rsidRPr="004C5123">
        <w:rPr>
          <w:rFonts w:asciiTheme="minorHAnsi" w:hAnsiTheme="minorHAnsi" w:cs="Arial"/>
          <w:sz w:val="22"/>
          <w:szCs w:val="20"/>
        </w:rPr>
        <w:t xml:space="preserve">plus the score for </w:t>
      </w:r>
      <w:r w:rsidR="005A0F37">
        <w:rPr>
          <w:rFonts w:asciiTheme="minorHAnsi" w:hAnsiTheme="minorHAnsi" w:cs="Arial"/>
          <w:sz w:val="22"/>
          <w:szCs w:val="20"/>
        </w:rPr>
        <w:t>r</w:t>
      </w:r>
      <w:r w:rsidRPr="004C5123">
        <w:rPr>
          <w:rFonts w:asciiTheme="minorHAnsi" w:hAnsiTheme="minorHAnsi" w:cs="Arial"/>
          <w:sz w:val="22"/>
          <w:szCs w:val="20"/>
        </w:rPr>
        <w:t xml:space="preserve">esearch and one of either </w:t>
      </w:r>
      <w:r w:rsidR="005A0F37">
        <w:rPr>
          <w:rFonts w:asciiTheme="minorHAnsi" w:hAnsiTheme="minorHAnsi" w:cs="Arial"/>
          <w:sz w:val="22"/>
          <w:szCs w:val="20"/>
        </w:rPr>
        <w:t>l</w:t>
      </w:r>
      <w:r w:rsidRPr="004C5123">
        <w:rPr>
          <w:rFonts w:asciiTheme="minorHAnsi" w:hAnsiTheme="minorHAnsi" w:cs="Arial"/>
          <w:sz w:val="22"/>
          <w:szCs w:val="20"/>
        </w:rPr>
        <w:t xml:space="preserve">eadership and </w:t>
      </w:r>
      <w:r w:rsidR="005A0F37">
        <w:rPr>
          <w:rFonts w:asciiTheme="minorHAnsi" w:hAnsiTheme="minorHAnsi" w:cs="Arial"/>
          <w:sz w:val="22"/>
          <w:szCs w:val="20"/>
        </w:rPr>
        <w:t>a</w:t>
      </w:r>
      <w:r w:rsidRPr="004C5123">
        <w:rPr>
          <w:rFonts w:asciiTheme="minorHAnsi" w:hAnsiTheme="minorHAnsi" w:cs="Arial"/>
          <w:sz w:val="22"/>
          <w:szCs w:val="20"/>
        </w:rPr>
        <w:t xml:space="preserve">dministration or </w:t>
      </w:r>
      <w:r w:rsidR="005A0F37">
        <w:rPr>
          <w:rFonts w:asciiTheme="minorHAnsi" w:hAnsiTheme="minorHAnsi" w:cs="Arial"/>
          <w:sz w:val="22"/>
          <w:szCs w:val="20"/>
        </w:rPr>
        <w:t>p</w:t>
      </w:r>
      <w:r w:rsidRPr="004C5123">
        <w:rPr>
          <w:rFonts w:asciiTheme="minorHAnsi" w:hAnsiTheme="minorHAnsi" w:cs="Arial"/>
          <w:sz w:val="22"/>
          <w:szCs w:val="20"/>
        </w:rPr>
        <w:t xml:space="preserve">ublic </w:t>
      </w:r>
      <w:r w:rsidR="005A0F37">
        <w:rPr>
          <w:rFonts w:asciiTheme="minorHAnsi" w:hAnsiTheme="minorHAnsi" w:cs="Arial"/>
          <w:sz w:val="22"/>
          <w:szCs w:val="20"/>
        </w:rPr>
        <w:t>s</w:t>
      </w:r>
      <w:r w:rsidRPr="004C5123">
        <w:rPr>
          <w:rFonts w:asciiTheme="minorHAnsi" w:hAnsiTheme="minorHAnsi" w:cs="Arial"/>
          <w:sz w:val="22"/>
          <w:szCs w:val="20"/>
        </w:rPr>
        <w:t xml:space="preserve">ervice. The same method of scoring will be used for part-time permanent staff employed on teaching-only contracts. </w:t>
      </w:r>
    </w:p>
    <w:p w:rsidR="00DE5D98" w:rsidRDefault="00DE5D98" w:rsidP="00DE5D98">
      <w:pPr>
        <w:spacing w:line="320" w:lineRule="atLeast"/>
        <w:jc w:val="both"/>
        <w:rPr>
          <w:rFonts w:asciiTheme="minorHAnsi" w:hAnsiTheme="minorHAnsi" w:cs="Arial"/>
          <w:sz w:val="22"/>
          <w:szCs w:val="20"/>
        </w:rPr>
      </w:pPr>
    </w:p>
    <w:p w:rsidR="00FE33BC" w:rsidRDefault="00FE33BC" w:rsidP="00D81324">
      <w:pPr>
        <w:spacing w:after="200" w:line="276" w:lineRule="auto"/>
        <w:rPr>
          <w:rFonts w:asciiTheme="minorHAnsi" w:hAnsiTheme="minorHAnsi"/>
          <w:b/>
          <w:sz w:val="22"/>
          <w:szCs w:val="22"/>
          <w:u w:val="single"/>
        </w:rPr>
      </w:pPr>
      <w:r>
        <w:rPr>
          <w:rFonts w:asciiTheme="minorHAnsi" w:hAnsiTheme="minorHAnsi"/>
          <w:b/>
          <w:szCs w:val="22"/>
        </w:rPr>
        <w:t>Law</w:t>
      </w:r>
    </w:p>
    <w:p w:rsidR="008E44E0" w:rsidRDefault="008E44E0" w:rsidP="00BA2F04">
      <w:pPr>
        <w:spacing w:line="320" w:lineRule="atLeast"/>
        <w:rPr>
          <w:rFonts w:asciiTheme="minorHAnsi" w:hAnsiTheme="minorHAnsi"/>
          <w:sz w:val="22"/>
          <w:szCs w:val="22"/>
        </w:rPr>
      </w:pPr>
      <w:r w:rsidRPr="008E44E0">
        <w:rPr>
          <w:rFonts w:asciiTheme="minorHAnsi" w:hAnsiTheme="minorHAnsi"/>
          <w:sz w:val="22"/>
          <w:szCs w:val="22"/>
        </w:rPr>
        <w:t xml:space="preserve">To be eligible for the Standard Academic Salary Package  academic staff at all levels of appointment </w:t>
      </w:r>
      <w:r w:rsidRPr="008E44E0">
        <w:rPr>
          <w:rFonts w:asciiTheme="minorHAnsi" w:hAnsiTheme="minorHAnsi"/>
          <w:i/>
          <w:sz w:val="22"/>
          <w:szCs w:val="22"/>
        </w:rPr>
        <w:t>must</w:t>
      </w:r>
      <w:r w:rsidRPr="008E44E0">
        <w:rPr>
          <w:rFonts w:asciiTheme="minorHAnsi" w:hAnsiTheme="minorHAnsi"/>
          <w:sz w:val="22"/>
          <w:szCs w:val="22"/>
        </w:rPr>
        <w:t xml:space="preserve"> achieve the appropriate </w:t>
      </w:r>
      <w:proofErr w:type="spellStart"/>
      <w:r w:rsidRPr="008E44E0">
        <w:rPr>
          <w:rFonts w:asciiTheme="minorHAnsi" w:hAnsiTheme="minorHAnsi"/>
          <w:sz w:val="22"/>
          <w:szCs w:val="22"/>
        </w:rPr>
        <w:t>SASP</w:t>
      </w:r>
      <w:proofErr w:type="spellEnd"/>
      <w:r w:rsidRPr="008E44E0">
        <w:rPr>
          <w:rFonts w:asciiTheme="minorHAnsi" w:hAnsiTheme="minorHAnsi"/>
          <w:sz w:val="22"/>
          <w:szCs w:val="22"/>
        </w:rPr>
        <w:t xml:space="preserve"> score in each of the three categories: </w:t>
      </w:r>
      <w:r w:rsidR="001743D9">
        <w:rPr>
          <w:rFonts w:asciiTheme="minorHAnsi" w:hAnsiTheme="minorHAnsi"/>
          <w:sz w:val="22"/>
          <w:szCs w:val="22"/>
        </w:rPr>
        <w:t>r</w:t>
      </w:r>
      <w:r w:rsidRPr="008E44E0">
        <w:rPr>
          <w:rFonts w:asciiTheme="minorHAnsi" w:hAnsiTheme="minorHAnsi"/>
          <w:sz w:val="22"/>
          <w:szCs w:val="22"/>
        </w:rPr>
        <w:t xml:space="preserve">esearch; </w:t>
      </w:r>
      <w:r w:rsidR="001743D9">
        <w:rPr>
          <w:rFonts w:asciiTheme="minorHAnsi" w:hAnsiTheme="minorHAnsi"/>
          <w:sz w:val="22"/>
          <w:szCs w:val="22"/>
        </w:rPr>
        <w:t>t</w:t>
      </w:r>
      <w:r w:rsidRPr="008E44E0">
        <w:rPr>
          <w:rFonts w:asciiTheme="minorHAnsi" w:hAnsiTheme="minorHAnsi"/>
          <w:sz w:val="22"/>
          <w:szCs w:val="22"/>
        </w:rPr>
        <w:t>eaching; and</w:t>
      </w:r>
      <w:r w:rsidR="001743D9">
        <w:rPr>
          <w:rFonts w:asciiTheme="minorHAnsi" w:hAnsiTheme="minorHAnsi"/>
          <w:sz w:val="22"/>
          <w:szCs w:val="22"/>
        </w:rPr>
        <w:t xml:space="preserve"> l</w:t>
      </w:r>
      <w:r w:rsidRPr="008E44E0">
        <w:rPr>
          <w:rFonts w:asciiTheme="minorHAnsi" w:hAnsiTheme="minorHAnsi"/>
          <w:sz w:val="22"/>
          <w:szCs w:val="22"/>
        </w:rPr>
        <w:t xml:space="preserve">eadership, </w:t>
      </w:r>
      <w:r w:rsidR="001743D9">
        <w:rPr>
          <w:rFonts w:asciiTheme="minorHAnsi" w:hAnsiTheme="minorHAnsi"/>
          <w:sz w:val="22"/>
          <w:szCs w:val="22"/>
        </w:rPr>
        <w:t>m</w:t>
      </w:r>
      <w:r w:rsidRPr="008E44E0">
        <w:rPr>
          <w:rFonts w:asciiTheme="minorHAnsi" w:hAnsiTheme="minorHAnsi"/>
          <w:sz w:val="22"/>
          <w:szCs w:val="22"/>
        </w:rPr>
        <w:t xml:space="preserve">anagement &amp; </w:t>
      </w:r>
      <w:r w:rsidR="001743D9">
        <w:rPr>
          <w:rFonts w:asciiTheme="minorHAnsi" w:hAnsiTheme="minorHAnsi"/>
          <w:sz w:val="22"/>
          <w:szCs w:val="22"/>
        </w:rPr>
        <w:t>a</w:t>
      </w:r>
      <w:r w:rsidRPr="008E44E0">
        <w:rPr>
          <w:rFonts w:asciiTheme="minorHAnsi" w:hAnsiTheme="minorHAnsi"/>
          <w:sz w:val="22"/>
          <w:szCs w:val="22"/>
        </w:rPr>
        <w:t>dministration (</w:t>
      </w:r>
      <w:proofErr w:type="spellStart"/>
      <w:r w:rsidRPr="008E44E0">
        <w:rPr>
          <w:rFonts w:asciiTheme="minorHAnsi" w:hAnsiTheme="minorHAnsi"/>
          <w:sz w:val="22"/>
          <w:szCs w:val="22"/>
        </w:rPr>
        <w:t>LMA</w:t>
      </w:r>
      <w:proofErr w:type="spellEnd"/>
      <w:r w:rsidRPr="008E44E0">
        <w:rPr>
          <w:rFonts w:asciiTheme="minorHAnsi" w:hAnsiTheme="minorHAnsi"/>
          <w:sz w:val="22"/>
          <w:szCs w:val="22"/>
        </w:rPr>
        <w:t xml:space="preserve">). It is also </w:t>
      </w:r>
      <w:r w:rsidRPr="008E44E0">
        <w:rPr>
          <w:rFonts w:asciiTheme="minorHAnsi" w:hAnsiTheme="minorHAnsi"/>
          <w:i/>
          <w:sz w:val="22"/>
          <w:szCs w:val="22"/>
        </w:rPr>
        <w:t>preferable</w:t>
      </w:r>
      <w:r w:rsidRPr="008E44E0">
        <w:rPr>
          <w:rFonts w:asciiTheme="minorHAnsi" w:hAnsiTheme="minorHAnsi"/>
          <w:sz w:val="22"/>
          <w:szCs w:val="22"/>
        </w:rPr>
        <w:t xml:space="preserve"> that academic </w:t>
      </w:r>
      <w:proofErr w:type="gramStart"/>
      <w:r w:rsidRPr="008E44E0">
        <w:rPr>
          <w:rFonts w:asciiTheme="minorHAnsi" w:hAnsiTheme="minorHAnsi"/>
          <w:sz w:val="22"/>
          <w:szCs w:val="22"/>
        </w:rPr>
        <w:t>staff are</w:t>
      </w:r>
      <w:proofErr w:type="gramEnd"/>
      <w:r w:rsidRPr="008E44E0">
        <w:rPr>
          <w:rFonts w:asciiTheme="minorHAnsi" w:hAnsiTheme="minorHAnsi"/>
          <w:sz w:val="22"/>
          <w:szCs w:val="22"/>
        </w:rPr>
        <w:t xml:space="preserve"> also active participants in socially responsive </w:t>
      </w:r>
      <w:r w:rsidRPr="008E44E0">
        <w:rPr>
          <w:rFonts w:asciiTheme="minorHAnsi" w:hAnsiTheme="minorHAnsi"/>
          <w:sz w:val="22"/>
          <w:szCs w:val="22"/>
        </w:rPr>
        <w:lastRenderedPageBreak/>
        <w:t xml:space="preserve">activities. NOTE: The </w:t>
      </w:r>
      <w:proofErr w:type="spellStart"/>
      <w:r w:rsidRPr="008E44E0">
        <w:rPr>
          <w:rFonts w:asciiTheme="minorHAnsi" w:hAnsiTheme="minorHAnsi"/>
          <w:sz w:val="22"/>
          <w:szCs w:val="22"/>
        </w:rPr>
        <w:t>SASP</w:t>
      </w:r>
      <w:proofErr w:type="spellEnd"/>
      <w:r w:rsidRPr="008E44E0">
        <w:rPr>
          <w:rFonts w:asciiTheme="minorHAnsi" w:hAnsiTheme="minorHAnsi"/>
          <w:sz w:val="22"/>
          <w:szCs w:val="22"/>
        </w:rPr>
        <w:t xml:space="preserve"> level in the first three categories differs according to the various ranks of academic appointment.</w:t>
      </w:r>
    </w:p>
    <w:p w:rsidR="008E44E0" w:rsidRPr="008E44E0" w:rsidRDefault="008E44E0" w:rsidP="008E44E0">
      <w:pPr>
        <w:rPr>
          <w:rFonts w:asciiTheme="minorHAnsi" w:hAnsiTheme="minorHAnsi"/>
          <w:sz w:val="22"/>
          <w:szCs w:val="22"/>
        </w:rPr>
      </w:pPr>
    </w:p>
    <w:p w:rsidR="008E44E0" w:rsidRPr="008E44E0" w:rsidRDefault="008E44E0" w:rsidP="00BA2F04">
      <w:pPr>
        <w:spacing w:line="320" w:lineRule="atLeast"/>
        <w:rPr>
          <w:rFonts w:asciiTheme="minorHAnsi" w:hAnsiTheme="minorHAnsi"/>
          <w:sz w:val="22"/>
          <w:szCs w:val="22"/>
        </w:rPr>
      </w:pPr>
      <w:r w:rsidRPr="001743D9">
        <w:rPr>
          <w:rFonts w:asciiTheme="minorHAnsi" w:hAnsiTheme="minorHAnsi"/>
          <w:b/>
          <w:sz w:val="22"/>
          <w:szCs w:val="22"/>
        </w:rPr>
        <w:t>E</w:t>
      </w:r>
      <w:r w:rsidR="001743D9" w:rsidRPr="001743D9">
        <w:rPr>
          <w:rFonts w:asciiTheme="minorHAnsi" w:hAnsiTheme="minorHAnsi"/>
          <w:b/>
          <w:sz w:val="22"/>
          <w:szCs w:val="22"/>
        </w:rPr>
        <w:t xml:space="preserve">xpected </w:t>
      </w:r>
      <w:r w:rsidR="001743D9">
        <w:rPr>
          <w:rFonts w:asciiTheme="minorHAnsi" w:hAnsiTheme="minorHAnsi"/>
          <w:sz w:val="22"/>
          <w:szCs w:val="22"/>
        </w:rPr>
        <w:t>performance</w:t>
      </w:r>
    </w:p>
    <w:p w:rsidR="008E44E0" w:rsidRPr="008E44E0" w:rsidRDefault="008E44E0" w:rsidP="00BA2F04">
      <w:pPr>
        <w:spacing w:line="320" w:lineRule="atLeast"/>
        <w:ind w:left="720"/>
        <w:rPr>
          <w:rFonts w:asciiTheme="minorHAnsi" w:hAnsiTheme="minorHAnsi"/>
          <w:sz w:val="22"/>
          <w:szCs w:val="22"/>
        </w:rPr>
      </w:pPr>
      <w:r w:rsidRPr="008E44E0">
        <w:rPr>
          <w:rFonts w:asciiTheme="minorHAnsi" w:hAnsiTheme="minorHAnsi"/>
          <w:sz w:val="22"/>
          <w:szCs w:val="22"/>
        </w:rPr>
        <w:t xml:space="preserve">Academic staff achieving the required </w:t>
      </w:r>
      <w:proofErr w:type="spellStart"/>
      <w:r w:rsidRPr="008E44E0">
        <w:rPr>
          <w:rFonts w:asciiTheme="minorHAnsi" w:hAnsiTheme="minorHAnsi"/>
          <w:sz w:val="22"/>
          <w:szCs w:val="22"/>
        </w:rPr>
        <w:t>SASP</w:t>
      </w:r>
      <w:proofErr w:type="spellEnd"/>
      <w:r w:rsidRPr="008E44E0">
        <w:rPr>
          <w:rFonts w:asciiTheme="minorHAnsi" w:hAnsiTheme="minorHAnsi"/>
          <w:sz w:val="22"/>
          <w:szCs w:val="22"/>
        </w:rPr>
        <w:t xml:space="preserve"> level in </w:t>
      </w:r>
      <w:r w:rsidR="001743D9">
        <w:rPr>
          <w:rFonts w:asciiTheme="minorHAnsi" w:hAnsiTheme="minorHAnsi"/>
          <w:sz w:val="22"/>
          <w:szCs w:val="22"/>
        </w:rPr>
        <w:t>t</w:t>
      </w:r>
      <w:r w:rsidRPr="008E44E0">
        <w:rPr>
          <w:rFonts w:asciiTheme="minorHAnsi" w:hAnsiTheme="minorHAnsi"/>
          <w:sz w:val="22"/>
          <w:szCs w:val="22"/>
        </w:rPr>
        <w:t xml:space="preserve">eaching; </w:t>
      </w:r>
      <w:r w:rsidR="001743D9">
        <w:rPr>
          <w:rFonts w:asciiTheme="minorHAnsi" w:hAnsiTheme="minorHAnsi"/>
          <w:sz w:val="22"/>
          <w:szCs w:val="22"/>
        </w:rPr>
        <w:t>r</w:t>
      </w:r>
      <w:r w:rsidRPr="008E44E0">
        <w:rPr>
          <w:rFonts w:asciiTheme="minorHAnsi" w:hAnsiTheme="minorHAnsi"/>
          <w:sz w:val="22"/>
          <w:szCs w:val="22"/>
        </w:rPr>
        <w:t xml:space="preserve">esearch; </w:t>
      </w:r>
      <w:r w:rsidR="001743D9">
        <w:rPr>
          <w:rFonts w:asciiTheme="minorHAnsi" w:hAnsiTheme="minorHAnsi"/>
          <w:sz w:val="22"/>
          <w:szCs w:val="22"/>
        </w:rPr>
        <w:t>l</w:t>
      </w:r>
      <w:r w:rsidRPr="008E44E0">
        <w:rPr>
          <w:rFonts w:asciiTheme="minorHAnsi" w:hAnsiTheme="minorHAnsi"/>
          <w:sz w:val="22"/>
          <w:szCs w:val="22"/>
        </w:rPr>
        <w:t xml:space="preserve">eadership, </w:t>
      </w:r>
      <w:r w:rsidR="001743D9">
        <w:rPr>
          <w:rFonts w:asciiTheme="minorHAnsi" w:hAnsiTheme="minorHAnsi"/>
          <w:sz w:val="22"/>
          <w:szCs w:val="22"/>
        </w:rPr>
        <w:t>m</w:t>
      </w:r>
      <w:r w:rsidRPr="008E44E0">
        <w:rPr>
          <w:rFonts w:asciiTheme="minorHAnsi" w:hAnsiTheme="minorHAnsi"/>
          <w:sz w:val="22"/>
          <w:szCs w:val="22"/>
        </w:rPr>
        <w:t xml:space="preserve">anagement &amp; </w:t>
      </w:r>
      <w:r w:rsidR="001743D9">
        <w:rPr>
          <w:rFonts w:asciiTheme="minorHAnsi" w:hAnsiTheme="minorHAnsi"/>
          <w:sz w:val="22"/>
          <w:szCs w:val="22"/>
        </w:rPr>
        <w:t>a</w:t>
      </w:r>
      <w:r w:rsidRPr="008E44E0">
        <w:rPr>
          <w:rFonts w:asciiTheme="minorHAnsi" w:hAnsiTheme="minorHAnsi"/>
          <w:sz w:val="22"/>
          <w:szCs w:val="22"/>
        </w:rPr>
        <w:t xml:space="preserve">dministration; and, preferably, </w:t>
      </w:r>
      <w:r w:rsidR="001743D9">
        <w:rPr>
          <w:rFonts w:asciiTheme="minorHAnsi" w:hAnsiTheme="minorHAnsi"/>
          <w:sz w:val="22"/>
          <w:szCs w:val="22"/>
        </w:rPr>
        <w:t>s</w:t>
      </w:r>
      <w:r w:rsidRPr="008E44E0">
        <w:rPr>
          <w:rFonts w:asciiTheme="minorHAnsi" w:hAnsiTheme="minorHAnsi"/>
          <w:sz w:val="22"/>
          <w:szCs w:val="22"/>
        </w:rPr>
        <w:t xml:space="preserve">ocial </w:t>
      </w:r>
      <w:r w:rsidR="001743D9">
        <w:rPr>
          <w:rFonts w:asciiTheme="minorHAnsi" w:hAnsiTheme="minorHAnsi"/>
          <w:sz w:val="22"/>
          <w:szCs w:val="22"/>
        </w:rPr>
        <w:t>r</w:t>
      </w:r>
      <w:r w:rsidRPr="008E44E0">
        <w:rPr>
          <w:rFonts w:asciiTheme="minorHAnsi" w:hAnsiTheme="minorHAnsi"/>
          <w:sz w:val="22"/>
          <w:szCs w:val="22"/>
        </w:rPr>
        <w:t xml:space="preserve">esponsiveness, over a four-year period as determined by the Departmental Performance Committee (Head of Department plus one or more senior staff as requested by the candidate) will be regarded as having met the performance expectations of his/her rank and receive the standard academic salary package applicable to the rank for the following four years. </w:t>
      </w:r>
    </w:p>
    <w:p w:rsidR="008E44E0" w:rsidRDefault="008E44E0" w:rsidP="001743D9">
      <w:pPr>
        <w:spacing w:line="320" w:lineRule="atLeast"/>
        <w:ind w:left="720"/>
        <w:rPr>
          <w:rFonts w:asciiTheme="minorHAnsi" w:hAnsiTheme="minorHAnsi"/>
          <w:sz w:val="22"/>
          <w:szCs w:val="22"/>
        </w:rPr>
      </w:pPr>
      <w:r w:rsidRPr="008E44E0">
        <w:rPr>
          <w:rFonts w:asciiTheme="minorHAnsi" w:hAnsiTheme="minorHAnsi"/>
          <w:sz w:val="22"/>
          <w:szCs w:val="22"/>
        </w:rPr>
        <w:t xml:space="preserve">Performance at the </w:t>
      </w:r>
      <w:proofErr w:type="spellStart"/>
      <w:r w:rsidRPr="008E44E0">
        <w:rPr>
          <w:rFonts w:asciiTheme="minorHAnsi" w:hAnsiTheme="minorHAnsi"/>
          <w:sz w:val="22"/>
          <w:szCs w:val="22"/>
        </w:rPr>
        <w:t>SASP</w:t>
      </w:r>
      <w:proofErr w:type="spellEnd"/>
      <w:r w:rsidRPr="008E44E0">
        <w:rPr>
          <w:rFonts w:asciiTheme="minorHAnsi" w:hAnsiTheme="minorHAnsi"/>
          <w:sz w:val="22"/>
          <w:szCs w:val="22"/>
        </w:rPr>
        <w:t xml:space="preserve"> level would normally be required for eligibility for any ‘scarcity’ lift-out in the Faculty.  </w:t>
      </w:r>
    </w:p>
    <w:p w:rsidR="008E44E0" w:rsidRPr="008E44E0" w:rsidRDefault="008E44E0" w:rsidP="00BA2F04">
      <w:pPr>
        <w:spacing w:line="320" w:lineRule="atLeast"/>
        <w:rPr>
          <w:rFonts w:asciiTheme="minorHAnsi" w:hAnsiTheme="minorHAnsi"/>
          <w:sz w:val="22"/>
          <w:szCs w:val="22"/>
        </w:rPr>
      </w:pPr>
    </w:p>
    <w:p w:rsidR="008E44E0" w:rsidRPr="008E44E0" w:rsidRDefault="00152CF2" w:rsidP="00BA2F04">
      <w:pPr>
        <w:spacing w:line="320" w:lineRule="atLeast"/>
        <w:rPr>
          <w:rFonts w:asciiTheme="minorHAnsi" w:hAnsiTheme="minorHAnsi"/>
          <w:sz w:val="22"/>
          <w:szCs w:val="22"/>
        </w:rPr>
      </w:pPr>
      <w:r>
        <w:rPr>
          <w:rFonts w:asciiTheme="minorHAnsi" w:hAnsiTheme="minorHAnsi"/>
          <w:sz w:val="22"/>
          <w:szCs w:val="22"/>
        </w:rPr>
        <w:t>Below expected performance</w:t>
      </w:r>
      <w:r w:rsidR="008E44E0" w:rsidRPr="008E44E0">
        <w:rPr>
          <w:rFonts w:asciiTheme="minorHAnsi" w:hAnsiTheme="minorHAnsi"/>
          <w:sz w:val="22"/>
          <w:szCs w:val="22"/>
        </w:rPr>
        <w:t xml:space="preserve"> </w:t>
      </w:r>
    </w:p>
    <w:p w:rsidR="008E44E0" w:rsidRPr="008E44E0" w:rsidRDefault="008E44E0" w:rsidP="001743D9">
      <w:pPr>
        <w:spacing w:line="320" w:lineRule="atLeast"/>
        <w:ind w:firstLine="720"/>
        <w:rPr>
          <w:rFonts w:asciiTheme="minorHAnsi" w:hAnsiTheme="minorHAnsi"/>
          <w:i/>
          <w:sz w:val="22"/>
          <w:szCs w:val="22"/>
        </w:rPr>
      </w:pPr>
      <w:r w:rsidRPr="008E44E0">
        <w:rPr>
          <w:rFonts w:asciiTheme="minorHAnsi" w:hAnsiTheme="minorHAnsi"/>
          <w:i/>
          <w:sz w:val="22"/>
          <w:szCs w:val="22"/>
        </w:rPr>
        <w:t>Poor performance</w:t>
      </w:r>
    </w:p>
    <w:p w:rsidR="008E44E0" w:rsidRPr="008E44E0" w:rsidRDefault="008E44E0" w:rsidP="001743D9">
      <w:pPr>
        <w:spacing w:line="320" w:lineRule="atLeast"/>
        <w:ind w:left="720"/>
        <w:rPr>
          <w:rFonts w:asciiTheme="minorHAnsi" w:hAnsiTheme="minorHAnsi"/>
          <w:sz w:val="22"/>
          <w:szCs w:val="22"/>
        </w:rPr>
      </w:pPr>
      <w:r w:rsidRPr="008E44E0">
        <w:rPr>
          <w:rFonts w:asciiTheme="minorHAnsi" w:hAnsiTheme="minorHAnsi"/>
          <w:sz w:val="22"/>
          <w:szCs w:val="22"/>
        </w:rPr>
        <w:t xml:space="preserve">All academic staff who obtain a score of 0-19 for </w:t>
      </w:r>
      <w:r w:rsidR="001743D9">
        <w:rPr>
          <w:rFonts w:asciiTheme="minorHAnsi" w:hAnsiTheme="minorHAnsi"/>
          <w:sz w:val="22"/>
          <w:szCs w:val="22"/>
        </w:rPr>
        <w:t>t</w:t>
      </w:r>
      <w:r w:rsidRPr="008E44E0">
        <w:rPr>
          <w:rFonts w:asciiTheme="minorHAnsi" w:hAnsiTheme="minorHAnsi"/>
          <w:sz w:val="22"/>
          <w:szCs w:val="22"/>
        </w:rPr>
        <w:t xml:space="preserve">eaching; </w:t>
      </w:r>
      <w:r w:rsidR="001743D9">
        <w:rPr>
          <w:rFonts w:asciiTheme="minorHAnsi" w:hAnsiTheme="minorHAnsi"/>
          <w:sz w:val="22"/>
          <w:szCs w:val="22"/>
        </w:rPr>
        <w:t>r</w:t>
      </w:r>
      <w:r w:rsidRPr="008E44E0">
        <w:rPr>
          <w:rFonts w:asciiTheme="minorHAnsi" w:hAnsiTheme="minorHAnsi"/>
          <w:sz w:val="22"/>
          <w:szCs w:val="22"/>
        </w:rPr>
        <w:t xml:space="preserve">esearch; or </w:t>
      </w:r>
      <w:r w:rsidR="001743D9">
        <w:rPr>
          <w:rFonts w:asciiTheme="minorHAnsi" w:hAnsiTheme="minorHAnsi"/>
          <w:sz w:val="22"/>
          <w:szCs w:val="22"/>
        </w:rPr>
        <w:t>l</w:t>
      </w:r>
      <w:r w:rsidRPr="008E44E0">
        <w:rPr>
          <w:rFonts w:asciiTheme="minorHAnsi" w:hAnsiTheme="minorHAnsi"/>
          <w:sz w:val="22"/>
          <w:szCs w:val="22"/>
        </w:rPr>
        <w:t xml:space="preserve">eadership, </w:t>
      </w:r>
      <w:r w:rsidR="001743D9">
        <w:rPr>
          <w:rFonts w:asciiTheme="minorHAnsi" w:hAnsiTheme="minorHAnsi"/>
          <w:sz w:val="22"/>
          <w:szCs w:val="22"/>
        </w:rPr>
        <w:t>m</w:t>
      </w:r>
      <w:r w:rsidRPr="008E44E0">
        <w:rPr>
          <w:rFonts w:asciiTheme="minorHAnsi" w:hAnsiTheme="minorHAnsi"/>
          <w:sz w:val="22"/>
          <w:szCs w:val="22"/>
        </w:rPr>
        <w:t xml:space="preserve">anagement &amp; </w:t>
      </w:r>
      <w:r w:rsidR="001743D9">
        <w:rPr>
          <w:rFonts w:asciiTheme="minorHAnsi" w:hAnsiTheme="minorHAnsi"/>
          <w:sz w:val="22"/>
          <w:szCs w:val="22"/>
        </w:rPr>
        <w:t>a</w:t>
      </w:r>
      <w:r w:rsidRPr="008E44E0">
        <w:rPr>
          <w:rFonts w:asciiTheme="minorHAnsi" w:hAnsiTheme="minorHAnsi"/>
          <w:sz w:val="22"/>
          <w:szCs w:val="22"/>
        </w:rPr>
        <w:t xml:space="preserve">dministration (except in the case of flexibility of scoring research where teaching commitments are, for departmental reasons, substantially increased, see above) will be regarded as </w:t>
      </w:r>
      <w:r w:rsidRPr="00152CF2">
        <w:rPr>
          <w:rFonts w:asciiTheme="minorHAnsi" w:hAnsiTheme="minorHAnsi"/>
          <w:b/>
          <w:sz w:val="22"/>
          <w:szCs w:val="22"/>
        </w:rPr>
        <w:t>underperforming</w:t>
      </w:r>
      <w:r w:rsidRPr="008E44E0">
        <w:rPr>
          <w:rFonts w:asciiTheme="minorHAnsi" w:hAnsiTheme="minorHAnsi"/>
          <w:sz w:val="22"/>
          <w:szCs w:val="22"/>
        </w:rPr>
        <w:t xml:space="preserve"> at the relevant rank, will incur possible financial consequences (still to be determined after consultation with all stake holders) until performance returns to the expected level as defined and must be put on a performance improvement plan. </w:t>
      </w:r>
    </w:p>
    <w:p w:rsidR="008E44E0" w:rsidRPr="008E44E0" w:rsidRDefault="008E44E0" w:rsidP="001743D9">
      <w:pPr>
        <w:spacing w:line="320" w:lineRule="atLeast"/>
        <w:ind w:firstLine="720"/>
        <w:rPr>
          <w:rFonts w:asciiTheme="minorHAnsi" w:hAnsiTheme="minorHAnsi"/>
          <w:i/>
          <w:sz w:val="22"/>
          <w:szCs w:val="22"/>
        </w:rPr>
      </w:pPr>
      <w:r w:rsidRPr="00152CF2">
        <w:rPr>
          <w:rFonts w:asciiTheme="minorHAnsi" w:hAnsiTheme="minorHAnsi"/>
          <w:b/>
          <w:i/>
          <w:sz w:val="22"/>
          <w:szCs w:val="22"/>
        </w:rPr>
        <w:t>Unsatisfactory</w:t>
      </w:r>
      <w:r w:rsidRPr="008E44E0">
        <w:rPr>
          <w:rFonts w:asciiTheme="minorHAnsi" w:hAnsiTheme="minorHAnsi"/>
          <w:i/>
          <w:sz w:val="22"/>
          <w:szCs w:val="22"/>
        </w:rPr>
        <w:t xml:space="preserve"> performance</w:t>
      </w:r>
    </w:p>
    <w:p w:rsidR="008E44E0" w:rsidRPr="008E44E0" w:rsidRDefault="008E44E0" w:rsidP="001743D9">
      <w:pPr>
        <w:spacing w:line="320" w:lineRule="atLeast"/>
        <w:ind w:left="720"/>
        <w:rPr>
          <w:rFonts w:asciiTheme="minorHAnsi" w:hAnsiTheme="minorHAnsi"/>
          <w:b/>
          <w:sz w:val="22"/>
          <w:szCs w:val="22"/>
        </w:rPr>
      </w:pPr>
      <w:r w:rsidRPr="008E44E0">
        <w:rPr>
          <w:rFonts w:asciiTheme="minorHAnsi" w:hAnsiTheme="minorHAnsi"/>
          <w:sz w:val="22"/>
          <w:szCs w:val="22"/>
        </w:rPr>
        <w:t xml:space="preserve">Any other member of staff who obtains a score below </w:t>
      </w:r>
      <w:proofErr w:type="spellStart"/>
      <w:r w:rsidRPr="008E44E0">
        <w:rPr>
          <w:rFonts w:asciiTheme="minorHAnsi" w:hAnsiTheme="minorHAnsi"/>
          <w:sz w:val="22"/>
          <w:szCs w:val="22"/>
        </w:rPr>
        <w:t>SASP</w:t>
      </w:r>
      <w:proofErr w:type="spellEnd"/>
      <w:r w:rsidRPr="008E44E0">
        <w:rPr>
          <w:rFonts w:asciiTheme="minorHAnsi" w:hAnsiTheme="minorHAnsi"/>
          <w:sz w:val="22"/>
          <w:szCs w:val="22"/>
        </w:rPr>
        <w:t xml:space="preserve"> for </w:t>
      </w:r>
      <w:r w:rsidR="001743D9">
        <w:rPr>
          <w:rFonts w:asciiTheme="minorHAnsi" w:hAnsiTheme="minorHAnsi"/>
          <w:sz w:val="22"/>
          <w:szCs w:val="22"/>
        </w:rPr>
        <w:t>t</w:t>
      </w:r>
      <w:r w:rsidRPr="008E44E0">
        <w:rPr>
          <w:rFonts w:asciiTheme="minorHAnsi" w:hAnsiTheme="minorHAnsi"/>
          <w:sz w:val="22"/>
          <w:szCs w:val="22"/>
        </w:rPr>
        <w:t xml:space="preserve">eaching; </w:t>
      </w:r>
      <w:r w:rsidR="001743D9">
        <w:rPr>
          <w:rFonts w:asciiTheme="minorHAnsi" w:hAnsiTheme="minorHAnsi"/>
          <w:sz w:val="22"/>
          <w:szCs w:val="22"/>
        </w:rPr>
        <w:t>r</w:t>
      </w:r>
      <w:r w:rsidRPr="008E44E0">
        <w:rPr>
          <w:rFonts w:asciiTheme="minorHAnsi" w:hAnsiTheme="minorHAnsi"/>
          <w:sz w:val="22"/>
          <w:szCs w:val="22"/>
        </w:rPr>
        <w:t xml:space="preserve">esearch or </w:t>
      </w:r>
      <w:r w:rsidR="001743D9">
        <w:rPr>
          <w:rFonts w:asciiTheme="minorHAnsi" w:hAnsiTheme="minorHAnsi"/>
          <w:sz w:val="22"/>
          <w:szCs w:val="22"/>
        </w:rPr>
        <w:t>l</w:t>
      </w:r>
      <w:r w:rsidRPr="008E44E0">
        <w:rPr>
          <w:rFonts w:asciiTheme="minorHAnsi" w:hAnsiTheme="minorHAnsi"/>
          <w:sz w:val="22"/>
          <w:szCs w:val="22"/>
        </w:rPr>
        <w:t xml:space="preserve">eadership, </w:t>
      </w:r>
      <w:r w:rsidR="001743D9">
        <w:rPr>
          <w:rFonts w:asciiTheme="minorHAnsi" w:hAnsiTheme="minorHAnsi"/>
          <w:sz w:val="22"/>
          <w:szCs w:val="22"/>
        </w:rPr>
        <w:t>m</w:t>
      </w:r>
      <w:r w:rsidRPr="008E44E0">
        <w:rPr>
          <w:rFonts w:asciiTheme="minorHAnsi" w:hAnsiTheme="minorHAnsi"/>
          <w:sz w:val="22"/>
          <w:szCs w:val="22"/>
        </w:rPr>
        <w:t xml:space="preserve">anagement &amp; </w:t>
      </w:r>
      <w:r w:rsidR="001743D9">
        <w:rPr>
          <w:rFonts w:asciiTheme="minorHAnsi" w:hAnsiTheme="minorHAnsi"/>
          <w:sz w:val="22"/>
          <w:szCs w:val="22"/>
        </w:rPr>
        <w:t>a</w:t>
      </w:r>
      <w:r w:rsidRPr="008E44E0">
        <w:rPr>
          <w:rFonts w:asciiTheme="minorHAnsi" w:hAnsiTheme="minorHAnsi"/>
          <w:sz w:val="22"/>
          <w:szCs w:val="22"/>
        </w:rPr>
        <w:t xml:space="preserve">dministration (except in the case of flexibility of scoring research where teaching commitments are, for departmental reasons, substantially increased, see above) should be counselled by the Head of Department and </w:t>
      </w:r>
      <w:r w:rsidRPr="008E44E0">
        <w:rPr>
          <w:rFonts w:asciiTheme="minorHAnsi" w:hAnsiTheme="minorHAnsi"/>
          <w:i/>
          <w:sz w:val="22"/>
          <w:szCs w:val="22"/>
        </w:rPr>
        <w:t>possibly</w:t>
      </w:r>
      <w:r w:rsidRPr="008E44E0">
        <w:rPr>
          <w:rFonts w:asciiTheme="minorHAnsi" w:hAnsiTheme="minorHAnsi"/>
          <w:sz w:val="22"/>
          <w:szCs w:val="22"/>
        </w:rPr>
        <w:t xml:space="preserve"> put on a performance improvement plan with the aim of achieving expected performance levels at the end of the cycle. A newly appointed, entry-level Lecturer who obtains a score below </w:t>
      </w:r>
      <w:proofErr w:type="spellStart"/>
      <w:r w:rsidRPr="008E44E0">
        <w:rPr>
          <w:rFonts w:asciiTheme="minorHAnsi" w:hAnsiTheme="minorHAnsi"/>
          <w:sz w:val="22"/>
          <w:szCs w:val="22"/>
        </w:rPr>
        <w:t>SASP</w:t>
      </w:r>
      <w:proofErr w:type="spellEnd"/>
      <w:r w:rsidRPr="008E44E0">
        <w:rPr>
          <w:rFonts w:asciiTheme="minorHAnsi" w:hAnsiTheme="minorHAnsi"/>
          <w:sz w:val="22"/>
          <w:szCs w:val="22"/>
        </w:rPr>
        <w:t xml:space="preserve"> level will need to be counselled by the Head of Department on what he/she needs to do to achieve </w:t>
      </w:r>
      <w:proofErr w:type="spellStart"/>
      <w:r w:rsidRPr="008E44E0">
        <w:rPr>
          <w:rFonts w:asciiTheme="minorHAnsi" w:hAnsiTheme="minorHAnsi"/>
          <w:sz w:val="22"/>
          <w:szCs w:val="22"/>
        </w:rPr>
        <w:t>SASP</w:t>
      </w:r>
      <w:proofErr w:type="spellEnd"/>
      <w:r w:rsidRPr="008E44E0">
        <w:rPr>
          <w:rFonts w:asciiTheme="minorHAnsi" w:hAnsiTheme="minorHAnsi"/>
          <w:sz w:val="22"/>
          <w:szCs w:val="22"/>
        </w:rPr>
        <w:t xml:space="preserve"> in the future. </w:t>
      </w:r>
    </w:p>
    <w:p w:rsidR="00FD2B76" w:rsidRPr="008E44E0" w:rsidRDefault="00FD2B76" w:rsidP="00DE5D98">
      <w:pPr>
        <w:widowControl w:val="0"/>
        <w:autoSpaceDE w:val="0"/>
        <w:autoSpaceDN w:val="0"/>
        <w:adjustRightInd w:val="0"/>
        <w:spacing w:after="260" w:line="320" w:lineRule="atLeast"/>
        <w:rPr>
          <w:rFonts w:asciiTheme="minorHAnsi" w:eastAsiaTheme="minorHAnsi" w:hAnsiTheme="minorHAnsi" w:cs="Tahoma"/>
          <w:sz w:val="22"/>
          <w:szCs w:val="22"/>
          <w:lang w:val="en-US" w:eastAsia="en-US"/>
        </w:rPr>
      </w:pPr>
    </w:p>
    <w:p w:rsidR="00FD2B76" w:rsidRPr="00FD2B76" w:rsidRDefault="00FD2B76" w:rsidP="00C77E3B">
      <w:pPr>
        <w:rPr>
          <w:rFonts w:asciiTheme="minorHAnsi" w:hAnsiTheme="minorHAnsi"/>
          <w:b/>
          <w:szCs w:val="22"/>
        </w:rPr>
      </w:pPr>
      <w:r w:rsidRPr="00FD2B76">
        <w:rPr>
          <w:rFonts w:asciiTheme="minorHAnsi" w:hAnsiTheme="minorHAnsi"/>
          <w:b/>
          <w:szCs w:val="22"/>
        </w:rPr>
        <w:t>Science</w:t>
      </w:r>
    </w:p>
    <w:p w:rsidR="00C77E3B" w:rsidRPr="00C77E3B" w:rsidRDefault="00C77E3B" w:rsidP="00C77E3B">
      <w:pPr>
        <w:rPr>
          <w:rFonts w:asciiTheme="minorHAnsi" w:hAnsiTheme="minorHAnsi"/>
          <w:sz w:val="22"/>
          <w:szCs w:val="22"/>
        </w:rPr>
      </w:pPr>
    </w:p>
    <w:p w:rsidR="00FD2B76" w:rsidRDefault="00FD2B76" w:rsidP="00DE5D98">
      <w:pPr>
        <w:widowControl w:val="0"/>
        <w:autoSpaceDE w:val="0"/>
        <w:autoSpaceDN w:val="0"/>
        <w:adjustRightInd w:val="0"/>
        <w:spacing w:after="260" w:line="320" w:lineRule="atLeast"/>
        <w:rPr>
          <w:rFonts w:asciiTheme="minorHAnsi" w:hAnsiTheme="minorHAnsi"/>
          <w:sz w:val="22"/>
          <w:szCs w:val="22"/>
        </w:rPr>
      </w:pPr>
      <w:r>
        <w:rPr>
          <w:rFonts w:asciiTheme="minorHAnsi" w:hAnsiTheme="minorHAnsi"/>
          <w:sz w:val="22"/>
          <w:szCs w:val="22"/>
        </w:rPr>
        <w:t xml:space="preserve">The threshold for </w:t>
      </w:r>
      <w:r w:rsidRPr="00D42E9E">
        <w:rPr>
          <w:rFonts w:asciiTheme="minorHAnsi" w:hAnsiTheme="minorHAnsi"/>
          <w:b/>
          <w:sz w:val="22"/>
          <w:szCs w:val="22"/>
        </w:rPr>
        <w:t>expected</w:t>
      </w:r>
      <w:r>
        <w:rPr>
          <w:rFonts w:asciiTheme="minorHAnsi" w:hAnsiTheme="minorHAnsi"/>
          <w:sz w:val="22"/>
          <w:szCs w:val="22"/>
        </w:rPr>
        <w:t xml:space="preserve"> performance is an aggregate score across the four categories of </w:t>
      </w:r>
      <w:r w:rsidR="005A0F37">
        <w:rPr>
          <w:rFonts w:asciiTheme="minorHAnsi" w:hAnsiTheme="minorHAnsi"/>
          <w:sz w:val="22"/>
          <w:szCs w:val="22"/>
        </w:rPr>
        <w:t>t</w:t>
      </w:r>
      <w:r>
        <w:rPr>
          <w:rFonts w:asciiTheme="minorHAnsi" w:hAnsiTheme="minorHAnsi"/>
          <w:sz w:val="22"/>
          <w:szCs w:val="22"/>
        </w:rPr>
        <w:t xml:space="preserve">eaching, </w:t>
      </w:r>
      <w:r w:rsidR="005A0F37">
        <w:rPr>
          <w:rFonts w:asciiTheme="minorHAnsi" w:hAnsiTheme="minorHAnsi"/>
          <w:sz w:val="22"/>
          <w:szCs w:val="22"/>
        </w:rPr>
        <w:t>r</w:t>
      </w:r>
      <w:r>
        <w:rPr>
          <w:rFonts w:asciiTheme="minorHAnsi" w:hAnsiTheme="minorHAnsi"/>
          <w:sz w:val="22"/>
          <w:szCs w:val="22"/>
        </w:rPr>
        <w:t xml:space="preserve">esearch, </w:t>
      </w:r>
      <w:r w:rsidR="005A0F37">
        <w:rPr>
          <w:rFonts w:asciiTheme="minorHAnsi" w:hAnsiTheme="minorHAnsi"/>
          <w:sz w:val="22"/>
          <w:szCs w:val="22"/>
        </w:rPr>
        <w:t>a</w:t>
      </w:r>
      <w:r>
        <w:rPr>
          <w:rFonts w:asciiTheme="minorHAnsi" w:hAnsiTheme="minorHAnsi"/>
          <w:sz w:val="22"/>
          <w:szCs w:val="22"/>
        </w:rPr>
        <w:t xml:space="preserve">dministration and </w:t>
      </w:r>
      <w:r w:rsidR="005A0F37">
        <w:rPr>
          <w:rFonts w:asciiTheme="minorHAnsi" w:hAnsiTheme="minorHAnsi"/>
          <w:sz w:val="22"/>
          <w:szCs w:val="22"/>
        </w:rPr>
        <w:t>l</w:t>
      </w:r>
      <w:r>
        <w:rPr>
          <w:rFonts w:asciiTheme="minorHAnsi" w:hAnsiTheme="minorHAnsi"/>
          <w:sz w:val="22"/>
          <w:szCs w:val="22"/>
        </w:rPr>
        <w:t xml:space="preserve">eadership, and </w:t>
      </w:r>
      <w:r w:rsidR="005A0F37">
        <w:rPr>
          <w:rFonts w:asciiTheme="minorHAnsi" w:hAnsiTheme="minorHAnsi"/>
          <w:sz w:val="22"/>
          <w:szCs w:val="22"/>
        </w:rPr>
        <w:t>s</w:t>
      </w:r>
      <w:r>
        <w:rPr>
          <w:rFonts w:asciiTheme="minorHAnsi" w:hAnsiTheme="minorHAnsi"/>
          <w:sz w:val="22"/>
          <w:szCs w:val="22"/>
        </w:rPr>
        <w:t>ocial responsiveness as follows:</w:t>
      </w:r>
    </w:p>
    <w:p w:rsidR="00C77E3B" w:rsidRPr="005D7AF3" w:rsidRDefault="00FD2B76" w:rsidP="00D42E9E">
      <w:pPr>
        <w:ind w:left="720"/>
        <w:rPr>
          <w:rFonts w:asciiTheme="minorHAnsi" w:hAnsiTheme="minorHAnsi"/>
          <w:sz w:val="22"/>
        </w:rPr>
      </w:pPr>
      <w:r w:rsidRPr="00C77E3B">
        <w:rPr>
          <w:rFonts w:asciiTheme="minorHAnsi" w:hAnsiTheme="minorHAnsi"/>
          <w:sz w:val="22"/>
          <w:szCs w:val="22"/>
        </w:rPr>
        <w:t xml:space="preserve"> </w:t>
      </w:r>
      <w:r w:rsidR="00C77E3B" w:rsidRPr="005D7AF3">
        <w:rPr>
          <w:rFonts w:asciiTheme="minorHAnsi" w:hAnsiTheme="minorHAnsi"/>
          <w:sz w:val="22"/>
        </w:rPr>
        <w:t xml:space="preserve">Lecturer – weighted score of at least 45  </w:t>
      </w:r>
    </w:p>
    <w:p w:rsidR="00C77E3B" w:rsidRPr="005D7AF3" w:rsidRDefault="00C77E3B" w:rsidP="00D42E9E">
      <w:pPr>
        <w:spacing w:after="200" w:line="276" w:lineRule="auto"/>
        <w:ind w:left="720"/>
        <w:contextualSpacing/>
        <w:rPr>
          <w:rFonts w:asciiTheme="minorHAnsi" w:hAnsiTheme="minorHAnsi"/>
          <w:sz w:val="22"/>
        </w:rPr>
      </w:pPr>
      <w:r w:rsidRPr="005D7AF3">
        <w:rPr>
          <w:rFonts w:asciiTheme="minorHAnsi" w:hAnsiTheme="minorHAnsi"/>
          <w:sz w:val="22"/>
        </w:rPr>
        <w:t>Senior lecturer – weighted score of at least 55</w:t>
      </w:r>
    </w:p>
    <w:p w:rsidR="00C77E3B" w:rsidRPr="005D7AF3" w:rsidRDefault="00C77E3B" w:rsidP="00D42E9E">
      <w:pPr>
        <w:spacing w:after="200" w:line="276" w:lineRule="auto"/>
        <w:ind w:left="720"/>
        <w:contextualSpacing/>
        <w:rPr>
          <w:rFonts w:asciiTheme="minorHAnsi" w:hAnsiTheme="minorHAnsi"/>
          <w:sz w:val="22"/>
        </w:rPr>
      </w:pPr>
      <w:r w:rsidRPr="005D7AF3">
        <w:rPr>
          <w:rFonts w:asciiTheme="minorHAnsi" w:hAnsiTheme="minorHAnsi"/>
          <w:sz w:val="22"/>
        </w:rPr>
        <w:t xml:space="preserve">Associate Professor - weighted score of at least 65 </w:t>
      </w:r>
    </w:p>
    <w:p w:rsidR="00C77E3B" w:rsidRPr="00FD2B76" w:rsidRDefault="00C77E3B" w:rsidP="00D42E9E">
      <w:pPr>
        <w:spacing w:line="276" w:lineRule="auto"/>
        <w:ind w:left="720"/>
        <w:contextualSpacing/>
        <w:rPr>
          <w:rFonts w:asciiTheme="minorHAnsi" w:hAnsiTheme="minorHAnsi"/>
          <w:sz w:val="22"/>
        </w:rPr>
      </w:pPr>
      <w:r w:rsidRPr="005D7AF3">
        <w:rPr>
          <w:rFonts w:asciiTheme="minorHAnsi" w:hAnsiTheme="minorHAnsi"/>
          <w:sz w:val="22"/>
        </w:rPr>
        <w:t>Professor - weighted</w:t>
      </w:r>
      <w:r w:rsidRPr="00FD2B76">
        <w:rPr>
          <w:rFonts w:asciiTheme="minorHAnsi" w:hAnsiTheme="minorHAnsi"/>
          <w:sz w:val="22"/>
        </w:rPr>
        <w:t xml:space="preserve"> score of at least 70 </w:t>
      </w:r>
      <w:r w:rsidR="0059283E">
        <w:rPr>
          <w:rStyle w:val="FootnoteReference"/>
          <w:rFonts w:asciiTheme="minorHAnsi" w:hAnsiTheme="minorHAnsi"/>
          <w:sz w:val="22"/>
        </w:rPr>
        <w:footnoteReference w:id="6"/>
      </w:r>
    </w:p>
    <w:p w:rsidR="00526D1F" w:rsidRDefault="00526D1F" w:rsidP="00C77E3B">
      <w:pPr>
        <w:rPr>
          <w:rFonts w:asciiTheme="minorHAnsi" w:hAnsiTheme="minorHAnsi"/>
          <w:sz w:val="22"/>
          <w:szCs w:val="22"/>
        </w:rPr>
      </w:pPr>
    </w:p>
    <w:p w:rsidR="00526D1F" w:rsidRDefault="00526D1F" w:rsidP="00DE5D98">
      <w:pPr>
        <w:widowControl w:val="0"/>
        <w:autoSpaceDE w:val="0"/>
        <w:autoSpaceDN w:val="0"/>
        <w:adjustRightInd w:val="0"/>
        <w:spacing w:after="260" w:line="320" w:lineRule="atLeast"/>
        <w:rPr>
          <w:rFonts w:asciiTheme="minorHAnsi" w:hAnsiTheme="minorHAnsi"/>
          <w:sz w:val="22"/>
          <w:szCs w:val="22"/>
        </w:rPr>
      </w:pPr>
      <w:r>
        <w:rPr>
          <w:rFonts w:asciiTheme="minorHAnsi" w:hAnsiTheme="minorHAnsi"/>
          <w:sz w:val="22"/>
          <w:szCs w:val="22"/>
        </w:rPr>
        <w:t>The weighting system used is that applicable to ad hominem promotions.</w:t>
      </w:r>
    </w:p>
    <w:p w:rsidR="00C77E3B" w:rsidRPr="00C77E3B" w:rsidRDefault="00C77E3B" w:rsidP="00DE5D98">
      <w:pPr>
        <w:widowControl w:val="0"/>
        <w:autoSpaceDE w:val="0"/>
        <w:autoSpaceDN w:val="0"/>
        <w:adjustRightInd w:val="0"/>
        <w:spacing w:after="260" w:line="320" w:lineRule="atLeast"/>
        <w:rPr>
          <w:rFonts w:asciiTheme="minorHAnsi" w:hAnsiTheme="minorHAnsi"/>
          <w:sz w:val="22"/>
          <w:szCs w:val="22"/>
        </w:rPr>
      </w:pPr>
      <w:proofErr w:type="gramStart"/>
      <w:r w:rsidRPr="00C77E3B">
        <w:rPr>
          <w:rFonts w:asciiTheme="minorHAnsi" w:hAnsiTheme="minorHAnsi"/>
          <w:sz w:val="22"/>
          <w:szCs w:val="22"/>
        </w:rPr>
        <w:t>Staff who fall</w:t>
      </w:r>
      <w:proofErr w:type="gramEnd"/>
      <w:r w:rsidRPr="00C77E3B">
        <w:rPr>
          <w:rFonts w:asciiTheme="minorHAnsi" w:hAnsiTheme="minorHAnsi"/>
          <w:sz w:val="22"/>
          <w:szCs w:val="22"/>
        </w:rPr>
        <w:t xml:space="preserve"> slightly below this level (</w:t>
      </w:r>
      <w:r w:rsidR="00EA49A1">
        <w:rPr>
          <w:rFonts w:asciiTheme="minorHAnsi" w:hAnsiTheme="minorHAnsi"/>
          <w:sz w:val="22"/>
          <w:szCs w:val="22"/>
        </w:rPr>
        <w:t>for example, by le</w:t>
      </w:r>
      <w:r w:rsidR="00FD2B76">
        <w:rPr>
          <w:rFonts w:asciiTheme="minorHAnsi" w:hAnsiTheme="minorHAnsi"/>
          <w:sz w:val="22"/>
          <w:szCs w:val="22"/>
        </w:rPr>
        <w:t xml:space="preserve">ss than 5 weighted points) </w:t>
      </w:r>
      <w:r w:rsidRPr="00C77E3B">
        <w:rPr>
          <w:rFonts w:asciiTheme="minorHAnsi" w:hAnsiTheme="minorHAnsi"/>
          <w:sz w:val="22"/>
          <w:szCs w:val="22"/>
        </w:rPr>
        <w:t xml:space="preserve">will be </w:t>
      </w:r>
      <w:r w:rsidR="00A734DE">
        <w:rPr>
          <w:rFonts w:asciiTheme="minorHAnsi" w:hAnsiTheme="minorHAnsi"/>
          <w:sz w:val="22"/>
          <w:szCs w:val="22"/>
        </w:rPr>
        <w:t>deemed to be</w:t>
      </w:r>
      <w:r w:rsidR="00D42E9E">
        <w:rPr>
          <w:rFonts w:asciiTheme="minorHAnsi" w:hAnsiTheme="minorHAnsi"/>
          <w:sz w:val="22"/>
          <w:szCs w:val="22"/>
        </w:rPr>
        <w:t xml:space="preserve"> performing at </w:t>
      </w:r>
      <w:r w:rsidR="00A734DE" w:rsidRPr="00D42E9E">
        <w:rPr>
          <w:rFonts w:asciiTheme="minorHAnsi" w:hAnsiTheme="minorHAnsi"/>
          <w:b/>
          <w:sz w:val="22"/>
          <w:szCs w:val="22"/>
        </w:rPr>
        <w:t>under-perform</w:t>
      </w:r>
      <w:r w:rsidR="00D42E9E" w:rsidRPr="00D42E9E">
        <w:rPr>
          <w:rFonts w:asciiTheme="minorHAnsi" w:hAnsiTheme="minorHAnsi"/>
          <w:b/>
          <w:sz w:val="22"/>
          <w:szCs w:val="22"/>
        </w:rPr>
        <w:t>ance</w:t>
      </w:r>
      <w:r w:rsidR="00D42E9E">
        <w:rPr>
          <w:rFonts w:asciiTheme="minorHAnsi" w:hAnsiTheme="minorHAnsi"/>
          <w:sz w:val="22"/>
          <w:szCs w:val="22"/>
        </w:rPr>
        <w:t xml:space="preserve"> level</w:t>
      </w:r>
      <w:r w:rsidR="00A734DE">
        <w:rPr>
          <w:rFonts w:asciiTheme="minorHAnsi" w:hAnsiTheme="minorHAnsi"/>
          <w:sz w:val="22"/>
          <w:szCs w:val="22"/>
        </w:rPr>
        <w:t>.</w:t>
      </w:r>
    </w:p>
    <w:p w:rsidR="00C77E3B" w:rsidRPr="00C77E3B" w:rsidRDefault="00C77E3B" w:rsidP="00C77E3B">
      <w:pPr>
        <w:rPr>
          <w:rFonts w:asciiTheme="minorHAnsi" w:hAnsiTheme="minorHAnsi"/>
          <w:sz w:val="22"/>
          <w:szCs w:val="22"/>
        </w:rPr>
      </w:pPr>
      <w:r w:rsidRPr="00C77E3B">
        <w:rPr>
          <w:rFonts w:asciiTheme="minorHAnsi" w:hAnsiTheme="minorHAnsi"/>
          <w:sz w:val="22"/>
          <w:szCs w:val="22"/>
        </w:rPr>
        <w:lastRenderedPageBreak/>
        <w:t xml:space="preserve">Staff </w:t>
      </w:r>
      <w:r w:rsidR="00DE147C">
        <w:rPr>
          <w:rFonts w:asciiTheme="minorHAnsi" w:hAnsiTheme="minorHAnsi"/>
          <w:sz w:val="22"/>
          <w:szCs w:val="22"/>
        </w:rPr>
        <w:t>will b</w:t>
      </w:r>
      <w:r w:rsidR="00A734DE">
        <w:rPr>
          <w:rFonts w:asciiTheme="minorHAnsi" w:hAnsiTheme="minorHAnsi"/>
          <w:sz w:val="22"/>
          <w:szCs w:val="22"/>
        </w:rPr>
        <w:t>e deemed to be performing</w:t>
      </w:r>
      <w:r w:rsidR="00D42E9E">
        <w:rPr>
          <w:rFonts w:asciiTheme="minorHAnsi" w:hAnsiTheme="minorHAnsi"/>
          <w:sz w:val="22"/>
          <w:szCs w:val="22"/>
        </w:rPr>
        <w:t xml:space="preserve"> at</w:t>
      </w:r>
      <w:r w:rsidR="00A734DE">
        <w:rPr>
          <w:rFonts w:asciiTheme="minorHAnsi" w:hAnsiTheme="minorHAnsi"/>
          <w:sz w:val="22"/>
          <w:szCs w:val="22"/>
        </w:rPr>
        <w:t xml:space="preserve"> </w:t>
      </w:r>
      <w:r w:rsidR="00A734DE" w:rsidRPr="00D42E9E">
        <w:rPr>
          <w:rFonts w:asciiTheme="minorHAnsi" w:hAnsiTheme="minorHAnsi"/>
          <w:b/>
          <w:sz w:val="22"/>
          <w:szCs w:val="22"/>
        </w:rPr>
        <w:t>unsatisfactor</w:t>
      </w:r>
      <w:r w:rsidR="00D42E9E" w:rsidRPr="00D42E9E">
        <w:rPr>
          <w:rFonts w:asciiTheme="minorHAnsi" w:hAnsiTheme="minorHAnsi"/>
          <w:b/>
          <w:sz w:val="22"/>
          <w:szCs w:val="22"/>
        </w:rPr>
        <w:t>y</w:t>
      </w:r>
      <w:r w:rsidR="00D42E9E">
        <w:rPr>
          <w:rFonts w:asciiTheme="minorHAnsi" w:hAnsiTheme="minorHAnsi"/>
          <w:sz w:val="22"/>
          <w:szCs w:val="22"/>
        </w:rPr>
        <w:t xml:space="preserve"> level</w:t>
      </w:r>
      <w:r w:rsidR="00DE147C">
        <w:rPr>
          <w:rFonts w:asciiTheme="minorHAnsi" w:hAnsiTheme="minorHAnsi"/>
          <w:sz w:val="22"/>
          <w:szCs w:val="22"/>
        </w:rPr>
        <w:t xml:space="preserve"> if scores fall in the </w:t>
      </w:r>
      <w:r w:rsidR="00526D1F">
        <w:rPr>
          <w:rFonts w:asciiTheme="minorHAnsi" w:hAnsiTheme="minorHAnsi"/>
          <w:sz w:val="22"/>
          <w:szCs w:val="22"/>
        </w:rPr>
        <w:t>following ranges</w:t>
      </w:r>
      <w:r w:rsidR="00DE147C">
        <w:rPr>
          <w:rFonts w:asciiTheme="minorHAnsi" w:hAnsiTheme="minorHAnsi"/>
          <w:sz w:val="22"/>
          <w:szCs w:val="22"/>
        </w:rPr>
        <w:t>:</w:t>
      </w:r>
      <w:r w:rsidRPr="00C77E3B">
        <w:rPr>
          <w:rFonts w:asciiTheme="minorHAnsi" w:hAnsiTheme="minorHAnsi"/>
          <w:sz w:val="22"/>
          <w:szCs w:val="22"/>
        </w:rPr>
        <w:t xml:space="preserve"> </w:t>
      </w:r>
    </w:p>
    <w:p w:rsidR="00C77E3B" w:rsidRPr="005D7AF3" w:rsidRDefault="00C77E3B" w:rsidP="00D42E9E">
      <w:pPr>
        <w:spacing w:after="200" w:line="276" w:lineRule="auto"/>
        <w:ind w:left="720"/>
        <w:contextualSpacing/>
        <w:rPr>
          <w:rFonts w:asciiTheme="minorHAnsi" w:hAnsiTheme="minorHAnsi"/>
          <w:sz w:val="22"/>
        </w:rPr>
      </w:pPr>
      <w:r w:rsidRPr="005D7AF3">
        <w:rPr>
          <w:rFonts w:asciiTheme="minorHAnsi" w:hAnsiTheme="minorHAnsi"/>
          <w:sz w:val="22"/>
        </w:rPr>
        <w:t xml:space="preserve">Lecturer – weighted score of less than 40 </w:t>
      </w:r>
    </w:p>
    <w:p w:rsidR="00C77E3B" w:rsidRPr="005D7AF3" w:rsidRDefault="00C77E3B" w:rsidP="00D42E9E">
      <w:pPr>
        <w:spacing w:after="200" w:line="276" w:lineRule="auto"/>
        <w:ind w:left="720"/>
        <w:contextualSpacing/>
        <w:rPr>
          <w:rFonts w:asciiTheme="minorHAnsi" w:hAnsiTheme="minorHAnsi"/>
          <w:sz w:val="22"/>
        </w:rPr>
      </w:pPr>
      <w:r w:rsidRPr="005D7AF3">
        <w:rPr>
          <w:rFonts w:asciiTheme="minorHAnsi" w:hAnsiTheme="minorHAnsi"/>
          <w:sz w:val="22"/>
        </w:rPr>
        <w:t>Senior lecturer – weighted score of less than 50</w:t>
      </w:r>
    </w:p>
    <w:p w:rsidR="00C77E3B" w:rsidRPr="005D7AF3" w:rsidRDefault="00C77E3B" w:rsidP="00D42E9E">
      <w:pPr>
        <w:spacing w:after="200" w:line="276" w:lineRule="auto"/>
        <w:ind w:left="720"/>
        <w:contextualSpacing/>
        <w:rPr>
          <w:rFonts w:asciiTheme="minorHAnsi" w:hAnsiTheme="minorHAnsi"/>
          <w:sz w:val="22"/>
        </w:rPr>
      </w:pPr>
      <w:r w:rsidRPr="005D7AF3">
        <w:rPr>
          <w:rFonts w:asciiTheme="minorHAnsi" w:hAnsiTheme="minorHAnsi"/>
          <w:sz w:val="22"/>
        </w:rPr>
        <w:t>Associate Professor – weighted score less than 60</w:t>
      </w:r>
    </w:p>
    <w:p w:rsidR="00C97871" w:rsidRPr="00D81324" w:rsidRDefault="00C77E3B" w:rsidP="00D42E9E">
      <w:pPr>
        <w:spacing w:line="276" w:lineRule="auto"/>
        <w:ind w:left="720"/>
        <w:contextualSpacing/>
        <w:rPr>
          <w:rFonts w:asciiTheme="minorHAnsi" w:hAnsiTheme="minorHAnsi"/>
          <w:sz w:val="22"/>
        </w:rPr>
      </w:pPr>
      <w:r w:rsidRPr="005D7AF3">
        <w:rPr>
          <w:rFonts w:asciiTheme="minorHAnsi" w:hAnsiTheme="minorHAnsi"/>
          <w:sz w:val="22"/>
        </w:rPr>
        <w:t xml:space="preserve">Professor – weighted score less than 65 </w:t>
      </w:r>
    </w:p>
    <w:sectPr w:rsidR="00C97871" w:rsidRPr="00D81324" w:rsidSect="003E46A3">
      <w:headerReference w:type="default" r:id="rId8"/>
      <w:pgSz w:w="11899" w:h="16840"/>
      <w:pgMar w:top="864" w:right="864" w:bottom="864" w:left="86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19D" w:rsidRDefault="0083719D" w:rsidP="00437C05">
      <w:r>
        <w:separator/>
      </w:r>
    </w:p>
  </w:endnote>
  <w:endnote w:type="continuationSeparator" w:id="0">
    <w:p w:rsidR="0083719D" w:rsidRDefault="0083719D" w:rsidP="00437C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19D" w:rsidRDefault="0083719D" w:rsidP="00437C05">
      <w:r>
        <w:separator/>
      </w:r>
    </w:p>
  </w:footnote>
  <w:footnote w:type="continuationSeparator" w:id="0">
    <w:p w:rsidR="0083719D" w:rsidRDefault="0083719D" w:rsidP="00437C05">
      <w:r>
        <w:continuationSeparator/>
      </w:r>
    </w:p>
  </w:footnote>
  <w:footnote w:id="1">
    <w:p w:rsidR="00310A52" w:rsidRPr="00FD40E0" w:rsidRDefault="00310A52">
      <w:pPr>
        <w:pStyle w:val="FootnoteText"/>
        <w:rPr>
          <w:lang w:val="en-US"/>
        </w:rPr>
      </w:pPr>
      <w:r>
        <w:rPr>
          <w:rStyle w:val="FootnoteReference"/>
        </w:rPr>
        <w:footnoteRef/>
      </w:r>
      <w:r>
        <w:t xml:space="preserve"> </w:t>
      </w:r>
      <w:r>
        <w:rPr>
          <w:lang w:val="en-US"/>
        </w:rPr>
        <w:t>This was proposed and accepted as an amendment to the motion put to Senate, which had been that the plan and policy be reviewed after a full cycle, i.e. at the end of 2014.</w:t>
      </w:r>
    </w:p>
  </w:footnote>
  <w:footnote w:id="2">
    <w:p w:rsidR="00310A52" w:rsidRPr="006D1DD5" w:rsidRDefault="00310A52">
      <w:pPr>
        <w:pStyle w:val="FootnoteText"/>
        <w:rPr>
          <w:lang w:val="en-US"/>
        </w:rPr>
      </w:pPr>
      <w:r>
        <w:rPr>
          <w:rStyle w:val="FootnoteReference"/>
        </w:rPr>
        <w:footnoteRef/>
      </w:r>
      <w:r>
        <w:t xml:space="preserve"> </w:t>
      </w:r>
      <w:r>
        <w:rPr>
          <w:lang w:val="en-US"/>
        </w:rPr>
        <w:t xml:space="preserve">Senate requested that faculties who have appointed academic staff as Research Officers </w:t>
      </w:r>
      <w:r w:rsidR="00634930">
        <w:rPr>
          <w:lang w:val="en-US"/>
        </w:rPr>
        <w:t xml:space="preserve">and Research Chairs, </w:t>
      </w:r>
      <w:r>
        <w:rPr>
          <w:lang w:val="en-US"/>
        </w:rPr>
        <w:t>specify the criteria for performance where they have been developed, and where they have not, to develop these criteria.</w:t>
      </w:r>
    </w:p>
  </w:footnote>
  <w:footnote w:id="3">
    <w:p w:rsidR="00310A52" w:rsidRPr="0059283E" w:rsidRDefault="00310A52">
      <w:pPr>
        <w:pStyle w:val="FootnoteText"/>
        <w:rPr>
          <w:lang w:val="en-US"/>
        </w:rPr>
      </w:pPr>
      <w:r>
        <w:rPr>
          <w:rStyle w:val="FootnoteReference"/>
        </w:rPr>
        <w:footnoteRef/>
      </w:r>
      <w:r>
        <w:t xml:space="preserve"> </w:t>
      </w:r>
      <w:r>
        <w:rPr>
          <w:lang w:val="en-US"/>
        </w:rPr>
        <w:t>Senate requested that the Faculty of Commerce develop minimum research criteria for expected performance for the rank of Associate Professor to be approved by the Faculty Board</w:t>
      </w:r>
    </w:p>
  </w:footnote>
  <w:footnote w:id="4">
    <w:p w:rsidR="00310A52" w:rsidRPr="0059283E" w:rsidRDefault="00310A52">
      <w:pPr>
        <w:pStyle w:val="FootnoteText"/>
        <w:rPr>
          <w:lang w:val="en-US"/>
        </w:rPr>
      </w:pPr>
      <w:r>
        <w:rPr>
          <w:rStyle w:val="FootnoteReference"/>
        </w:rPr>
        <w:footnoteRef/>
      </w:r>
      <w:r>
        <w:t xml:space="preserve"> </w:t>
      </w:r>
      <w:r>
        <w:rPr>
          <w:lang w:val="en-US"/>
        </w:rPr>
        <w:t>Senate requested that the Faculty of Engineering and the Built Environment develop minimum research criteria for expected performance for the ranks of Professor and Associate Professor to be approved by the Faculty Board</w:t>
      </w:r>
    </w:p>
  </w:footnote>
  <w:footnote w:id="5">
    <w:p w:rsidR="00310A52" w:rsidRPr="0059283E" w:rsidRDefault="00310A52" w:rsidP="00B802CD">
      <w:pPr>
        <w:pStyle w:val="FootnoteText"/>
        <w:rPr>
          <w:lang w:val="en-US"/>
        </w:rPr>
      </w:pPr>
      <w:r>
        <w:rPr>
          <w:rStyle w:val="FootnoteReference"/>
        </w:rPr>
        <w:footnoteRef/>
      </w:r>
      <w:r>
        <w:t xml:space="preserve"> </w:t>
      </w:r>
      <w:r>
        <w:rPr>
          <w:lang w:val="en-US"/>
        </w:rPr>
        <w:t>Senate requested that the Faculty of Health Sciences develop minimum research criteria for expected performance for the ranks of Professor and Associate Professor to be approved by the Faculty Board</w:t>
      </w:r>
    </w:p>
    <w:p w:rsidR="00310A52" w:rsidRPr="00B802CD" w:rsidRDefault="00310A52">
      <w:pPr>
        <w:pStyle w:val="FootnoteText"/>
        <w:rPr>
          <w:lang w:val="en-US"/>
        </w:rPr>
      </w:pPr>
    </w:p>
  </w:footnote>
  <w:footnote w:id="6">
    <w:p w:rsidR="00310A52" w:rsidRPr="0059283E" w:rsidRDefault="00310A52">
      <w:pPr>
        <w:pStyle w:val="FootnoteText"/>
        <w:rPr>
          <w:lang w:val="en-US"/>
        </w:rPr>
      </w:pPr>
      <w:r>
        <w:rPr>
          <w:rStyle w:val="FootnoteReference"/>
        </w:rPr>
        <w:footnoteRef/>
      </w:r>
      <w:r>
        <w:t xml:space="preserve"> </w:t>
      </w:r>
      <w:r>
        <w:rPr>
          <w:lang w:val="en-US"/>
        </w:rPr>
        <w:t>Senate requested that the Faculty of Science develop minimum research criteria for expected performance for the ranks of Professor and Associate Professor to be approved by the Faculty Board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4226001"/>
      <w:docPartObj>
        <w:docPartGallery w:val="Page Numbers (Top of Page)"/>
        <w:docPartUnique/>
      </w:docPartObj>
    </w:sdtPr>
    <w:sdtEndPr>
      <w:rPr>
        <w:b w:val="0"/>
      </w:rPr>
    </w:sdtEndPr>
    <w:sdtContent>
      <w:p w:rsidR="00310A52" w:rsidRDefault="00310A52" w:rsidP="006B1BD5">
        <w:pPr>
          <w:pStyle w:val="Header"/>
          <w:jc w:val="right"/>
        </w:pPr>
        <w:r>
          <w:t xml:space="preserve">             </w:t>
        </w:r>
        <w:fldSimple w:instr=" PAGE   \* MERGEFORMAT ">
          <w:r w:rsidR="00614C4B">
            <w:rPr>
              <w:noProof/>
            </w:rPr>
            <w:t>6</w:t>
          </w:r>
        </w:fldSimple>
      </w:p>
    </w:sdtContent>
  </w:sdt>
  <w:p w:rsidR="00310A52" w:rsidRDefault="00310A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0A5DFE"/>
    <w:lvl w:ilvl="0">
      <w:start w:val="1"/>
      <w:numFmt w:val="decimal"/>
      <w:lvlText w:val="%1."/>
      <w:lvlJc w:val="left"/>
      <w:pPr>
        <w:tabs>
          <w:tab w:val="num" w:pos="1492"/>
        </w:tabs>
        <w:ind w:left="1492" w:hanging="360"/>
      </w:pPr>
    </w:lvl>
  </w:abstractNum>
  <w:abstractNum w:abstractNumId="1">
    <w:nsid w:val="FFFFFF7D"/>
    <w:multiLevelType w:val="singleLevel"/>
    <w:tmpl w:val="118ED8A0"/>
    <w:lvl w:ilvl="0">
      <w:start w:val="1"/>
      <w:numFmt w:val="decimal"/>
      <w:lvlText w:val="%1."/>
      <w:lvlJc w:val="left"/>
      <w:pPr>
        <w:tabs>
          <w:tab w:val="num" w:pos="1209"/>
        </w:tabs>
        <w:ind w:left="1209" w:hanging="360"/>
      </w:pPr>
    </w:lvl>
  </w:abstractNum>
  <w:abstractNum w:abstractNumId="2">
    <w:nsid w:val="FFFFFF7E"/>
    <w:multiLevelType w:val="singleLevel"/>
    <w:tmpl w:val="5032EDE6"/>
    <w:lvl w:ilvl="0">
      <w:start w:val="1"/>
      <w:numFmt w:val="decimal"/>
      <w:lvlText w:val="%1."/>
      <w:lvlJc w:val="left"/>
      <w:pPr>
        <w:tabs>
          <w:tab w:val="num" w:pos="926"/>
        </w:tabs>
        <w:ind w:left="926" w:hanging="360"/>
      </w:pPr>
    </w:lvl>
  </w:abstractNum>
  <w:abstractNum w:abstractNumId="3">
    <w:nsid w:val="FFFFFF7F"/>
    <w:multiLevelType w:val="singleLevel"/>
    <w:tmpl w:val="84FE9FDC"/>
    <w:lvl w:ilvl="0">
      <w:start w:val="1"/>
      <w:numFmt w:val="decimal"/>
      <w:lvlText w:val="%1."/>
      <w:lvlJc w:val="left"/>
      <w:pPr>
        <w:tabs>
          <w:tab w:val="num" w:pos="643"/>
        </w:tabs>
        <w:ind w:left="643" w:hanging="360"/>
      </w:pPr>
    </w:lvl>
  </w:abstractNum>
  <w:abstractNum w:abstractNumId="4">
    <w:nsid w:val="FFFFFF80"/>
    <w:multiLevelType w:val="singleLevel"/>
    <w:tmpl w:val="0C44F7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4C2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5AD0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2639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24A084"/>
    <w:lvl w:ilvl="0">
      <w:start w:val="1"/>
      <w:numFmt w:val="decimal"/>
      <w:lvlText w:val="%1."/>
      <w:lvlJc w:val="left"/>
      <w:pPr>
        <w:tabs>
          <w:tab w:val="num" w:pos="360"/>
        </w:tabs>
        <w:ind w:left="360" w:hanging="360"/>
      </w:pPr>
    </w:lvl>
  </w:abstractNum>
  <w:abstractNum w:abstractNumId="9">
    <w:nsid w:val="FFFFFF89"/>
    <w:multiLevelType w:val="singleLevel"/>
    <w:tmpl w:val="834C6FEE"/>
    <w:lvl w:ilvl="0">
      <w:start w:val="1"/>
      <w:numFmt w:val="bullet"/>
      <w:lvlText w:val=""/>
      <w:lvlJc w:val="left"/>
      <w:pPr>
        <w:tabs>
          <w:tab w:val="num" w:pos="360"/>
        </w:tabs>
        <w:ind w:left="360" w:hanging="360"/>
      </w:pPr>
      <w:rPr>
        <w:rFonts w:ascii="Symbol" w:hAnsi="Symbol" w:hint="default"/>
      </w:rPr>
    </w:lvl>
  </w:abstractNum>
  <w:abstractNum w:abstractNumId="10">
    <w:nsid w:val="00E877B0"/>
    <w:multiLevelType w:val="hybridMultilevel"/>
    <w:tmpl w:val="D72A0584"/>
    <w:lvl w:ilvl="0" w:tplc="63B4693E">
      <w:start w:val="1"/>
      <w:numFmt w:val="lowerLetter"/>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6F754D4"/>
    <w:multiLevelType w:val="hybridMultilevel"/>
    <w:tmpl w:val="71809C12"/>
    <w:lvl w:ilvl="0" w:tplc="EA44AFD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0D924FE8"/>
    <w:multiLevelType w:val="hybridMultilevel"/>
    <w:tmpl w:val="E438F05A"/>
    <w:lvl w:ilvl="0" w:tplc="16EE2A1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18EE263A"/>
    <w:multiLevelType w:val="hybridMultilevel"/>
    <w:tmpl w:val="6D7E0DF4"/>
    <w:lvl w:ilvl="0" w:tplc="6D7C8F76">
      <w:start w:val="2"/>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6B15DC"/>
    <w:multiLevelType w:val="hybridMultilevel"/>
    <w:tmpl w:val="842AB836"/>
    <w:lvl w:ilvl="0" w:tplc="16669B7A">
      <w:start w:val="1"/>
      <w:numFmt w:val="lowerLetter"/>
      <w:lvlText w:val="%1)"/>
      <w:lvlJc w:val="left"/>
      <w:pPr>
        <w:ind w:left="360" w:hanging="360"/>
      </w:pPr>
      <w:rPr>
        <w:rFonts w:ascii="Arial" w:hAnsi="Arial" w:cs="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51E2C23"/>
    <w:multiLevelType w:val="hybridMultilevel"/>
    <w:tmpl w:val="39D8652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nsid w:val="2C100DF1"/>
    <w:multiLevelType w:val="hybridMultilevel"/>
    <w:tmpl w:val="03B8E6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3D65699"/>
    <w:multiLevelType w:val="hybridMultilevel"/>
    <w:tmpl w:val="E5E07E3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nsid w:val="361C1199"/>
    <w:multiLevelType w:val="hybridMultilevel"/>
    <w:tmpl w:val="9026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510EC"/>
    <w:multiLevelType w:val="hybridMultilevel"/>
    <w:tmpl w:val="C5C4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7121A"/>
    <w:multiLevelType w:val="hybridMultilevel"/>
    <w:tmpl w:val="5DC8167A"/>
    <w:lvl w:ilvl="0" w:tplc="6D7C8F76">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3B60EA"/>
    <w:multiLevelType w:val="multilevel"/>
    <w:tmpl w:val="70A86B60"/>
    <w:lvl w:ilvl="0">
      <w:start w:val="1"/>
      <w:numFmt w:val="decimal"/>
      <w:pStyle w:val="Heading1"/>
      <w:lvlText w:val="%1"/>
      <w:lvlJc w:val="left"/>
      <w:pPr>
        <w:tabs>
          <w:tab w:val="num" w:pos="0"/>
        </w:tabs>
        <w:ind w:hanging="964"/>
      </w:pPr>
      <w:rPr>
        <w:rFonts w:cs="Times New Roman"/>
      </w:rPr>
    </w:lvl>
    <w:lvl w:ilvl="1">
      <w:start w:val="1"/>
      <w:numFmt w:val="decimal"/>
      <w:pStyle w:val="Heading2"/>
      <w:lvlText w:val="%1.%2"/>
      <w:lvlJc w:val="left"/>
      <w:pPr>
        <w:tabs>
          <w:tab w:val="num" w:pos="0"/>
        </w:tabs>
        <w:ind w:hanging="964"/>
      </w:pPr>
      <w:rPr>
        <w:rFonts w:cs="Times New Roman"/>
      </w:rPr>
    </w:lvl>
    <w:lvl w:ilvl="2">
      <w:start w:val="1"/>
      <w:numFmt w:val="decimal"/>
      <w:pStyle w:val="Heading3"/>
      <w:lvlText w:val="%1.%2.%3"/>
      <w:lvlJc w:val="left"/>
      <w:pPr>
        <w:tabs>
          <w:tab w:val="num" w:pos="0"/>
        </w:tabs>
        <w:ind w:hanging="964"/>
      </w:pPr>
      <w:rPr>
        <w:rFonts w:cs="Times New Roman"/>
      </w:rPr>
    </w:lvl>
    <w:lvl w:ilvl="3">
      <w:start w:val="1"/>
      <w:numFmt w:val="decimal"/>
      <w:pStyle w:val="Heading4"/>
      <w:lvlText w:val="%1.%2.%3.%4"/>
      <w:lvlJc w:val="left"/>
      <w:pPr>
        <w:tabs>
          <w:tab w:val="num" w:pos="20"/>
        </w:tabs>
        <w:ind w:hanging="9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3DB92BEE"/>
    <w:multiLevelType w:val="hybridMultilevel"/>
    <w:tmpl w:val="1A1AD81A"/>
    <w:lvl w:ilvl="0" w:tplc="6D7C8F76">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482332"/>
    <w:multiLevelType w:val="hybridMultilevel"/>
    <w:tmpl w:val="32AA0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60291"/>
    <w:multiLevelType w:val="hybridMultilevel"/>
    <w:tmpl w:val="98C67C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367D44"/>
    <w:multiLevelType w:val="hybridMultilevel"/>
    <w:tmpl w:val="FA8EBFA4"/>
    <w:lvl w:ilvl="0" w:tplc="6D7C8F76">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7C0056"/>
    <w:multiLevelType w:val="hybridMultilevel"/>
    <w:tmpl w:val="2DDCD5C6"/>
    <w:lvl w:ilvl="0" w:tplc="0D0CFB80">
      <w:start w:val="1"/>
      <w:numFmt w:val="lowerLetter"/>
      <w:lvlText w:val="%1)"/>
      <w:lvlJc w:val="left"/>
      <w:pPr>
        <w:ind w:left="360" w:hanging="360"/>
      </w:pPr>
      <w:rPr>
        <w:rFonts w:asciiTheme="minorHAnsi" w:hAnsiTheme="minorHAnsi" w:cs="Times New Roman" w:hint="default"/>
        <w:b w:val="0"/>
        <w:i w:val="0"/>
        <w:caps w:val="0"/>
        <w:strike w:val="0"/>
        <w:dstrike w:val="0"/>
        <w:outline w:val="0"/>
        <w:shadow w:val="0"/>
        <w:emboss w:val="0"/>
        <w:imprint w:val="0"/>
        <w:vanish w:val="0"/>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503326"/>
    <w:multiLevelType w:val="hybridMultilevel"/>
    <w:tmpl w:val="E0243E98"/>
    <w:lvl w:ilvl="0" w:tplc="51B85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4247F9"/>
    <w:multiLevelType w:val="hybridMultilevel"/>
    <w:tmpl w:val="9BF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6167A3"/>
    <w:multiLevelType w:val="hybridMultilevel"/>
    <w:tmpl w:val="E5F6BD62"/>
    <w:lvl w:ilvl="0" w:tplc="E1CE5946">
      <w:start w:val="1"/>
      <w:numFmt w:val="lowerLetter"/>
      <w:suff w:val="space"/>
      <w:lvlText w:val="%1)"/>
      <w:lvlJc w:val="left"/>
      <w:pPr>
        <w:ind w:left="216" w:hanging="216"/>
      </w:pPr>
      <w:rPr>
        <w:rFonts w:cs="Tahoma"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52E573CB"/>
    <w:multiLevelType w:val="hybridMultilevel"/>
    <w:tmpl w:val="26782B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F75116"/>
    <w:multiLevelType w:val="hybridMultilevel"/>
    <w:tmpl w:val="05328A9E"/>
    <w:lvl w:ilvl="0" w:tplc="04090001">
      <w:start w:val="1"/>
      <w:numFmt w:val="bullet"/>
      <w:lvlText w:val=""/>
      <w:lvlJc w:val="left"/>
      <w:pPr>
        <w:ind w:left="216" w:hanging="216"/>
      </w:pPr>
      <w:rPr>
        <w:rFonts w:ascii="Symbol" w:hAnsi="Symbol" w:hint="default"/>
        <w:b w:val="0"/>
        <w:i w:val="0"/>
        <w:caps w:val="0"/>
        <w:strike w:val="0"/>
        <w:dstrike w:val="0"/>
        <w:outline w:val="0"/>
        <w:shadow w:val="0"/>
        <w:emboss w:val="0"/>
        <w:imprint w:val="0"/>
        <w:vanish w:val="0"/>
        <w:sz w:val="20"/>
        <w:vertAlign w:val="baseline"/>
      </w:rPr>
    </w:lvl>
    <w:lvl w:ilvl="1" w:tplc="E28CB6BC">
      <w:numFmt w:val="bullet"/>
      <w:lvlText w:val=""/>
      <w:lvlJc w:val="left"/>
      <w:pPr>
        <w:ind w:left="1080" w:hanging="360"/>
      </w:pPr>
      <w:rPr>
        <w:rFonts w:ascii="Symbol" w:eastAsia="Times New Roman" w:hAnsi="Symbol" w:cs="Courier New"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58044D0"/>
    <w:multiLevelType w:val="hybridMultilevel"/>
    <w:tmpl w:val="1EDE9EDA"/>
    <w:lvl w:ilvl="0" w:tplc="CF8CE072">
      <w:start w:val="1"/>
      <w:numFmt w:val="lowerRoman"/>
      <w:suff w:val="space"/>
      <w:lvlText w:val="%1)"/>
      <w:lvlJc w:val="left"/>
      <w:pPr>
        <w:ind w:left="216" w:hanging="216"/>
      </w:pPr>
      <w:rPr>
        <w:rFonts w:cs="Times New Roman" w:hint="default"/>
        <w:b w:val="0"/>
        <w:i w:val="0"/>
        <w:caps w:val="0"/>
        <w:strike w:val="0"/>
        <w:dstrike w:val="0"/>
        <w:outline w:val="0"/>
        <w:shadow w:val="0"/>
        <w:emboss w:val="0"/>
        <w:imprint w:val="0"/>
        <w:vanish w:val="0"/>
        <w:sz w:val="20"/>
        <w:vertAlign w:val="baseline"/>
      </w:rPr>
    </w:lvl>
    <w:lvl w:ilvl="1" w:tplc="E28CB6BC">
      <w:numFmt w:val="bullet"/>
      <w:lvlText w:val=""/>
      <w:lvlJc w:val="left"/>
      <w:pPr>
        <w:ind w:left="1080" w:hanging="360"/>
      </w:pPr>
      <w:rPr>
        <w:rFonts w:ascii="Symbol" w:eastAsia="Times New Roman" w:hAnsi="Symbol" w:cs="Courier New"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7FD4D36"/>
    <w:multiLevelType w:val="hybridMultilevel"/>
    <w:tmpl w:val="A3F46DB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4">
    <w:nsid w:val="58917E54"/>
    <w:multiLevelType w:val="singleLevel"/>
    <w:tmpl w:val="04090001"/>
    <w:lvl w:ilvl="0">
      <w:start w:val="1"/>
      <w:numFmt w:val="bullet"/>
      <w:lvlText w:val=""/>
      <w:lvlJc w:val="left"/>
      <w:pPr>
        <w:ind w:left="720" w:hanging="360"/>
      </w:pPr>
      <w:rPr>
        <w:rFonts w:ascii="Symbol" w:hAnsi="Symbol" w:hint="default"/>
      </w:rPr>
    </w:lvl>
  </w:abstractNum>
  <w:abstractNum w:abstractNumId="35">
    <w:nsid w:val="5939322A"/>
    <w:multiLevelType w:val="hybridMultilevel"/>
    <w:tmpl w:val="41DA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24F1A"/>
    <w:multiLevelType w:val="hybridMultilevel"/>
    <w:tmpl w:val="BEEC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2868D6"/>
    <w:multiLevelType w:val="hybridMultilevel"/>
    <w:tmpl w:val="9C6A05DC"/>
    <w:lvl w:ilvl="0" w:tplc="0409000F">
      <w:start w:val="10"/>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8">
    <w:nsid w:val="62A75D5E"/>
    <w:multiLevelType w:val="hybridMultilevel"/>
    <w:tmpl w:val="77A2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0A484A"/>
    <w:multiLevelType w:val="hybridMultilevel"/>
    <w:tmpl w:val="F30476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37727E8"/>
    <w:multiLevelType w:val="hybridMultilevel"/>
    <w:tmpl w:val="65BC3E94"/>
    <w:lvl w:ilvl="0" w:tplc="CE8438CA">
      <w:start w:val="1"/>
      <w:numFmt w:val="lowerLetter"/>
      <w:suff w:val="space"/>
      <w:lvlText w:val="%1)"/>
      <w:lvlJc w:val="left"/>
      <w:pPr>
        <w:ind w:left="216" w:hanging="216"/>
      </w:pPr>
      <w:rPr>
        <w:rFonts w:ascii="Arial" w:hAnsi="Arial" w:cs="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6BA448E9"/>
    <w:multiLevelType w:val="hybridMultilevel"/>
    <w:tmpl w:val="CBAE4704"/>
    <w:lvl w:ilvl="0" w:tplc="CF8CE072">
      <w:start w:val="1"/>
      <w:numFmt w:val="lowerRoman"/>
      <w:suff w:val="space"/>
      <w:lvlText w:val="%1)"/>
      <w:lvlJc w:val="left"/>
      <w:pPr>
        <w:ind w:left="432" w:hanging="216"/>
      </w:pPr>
      <w:rPr>
        <w:rFonts w:cs="Times New Roman" w:hint="default"/>
        <w:b w:val="0"/>
        <w:i w:val="0"/>
        <w:caps w:val="0"/>
        <w:strike w:val="0"/>
        <w:dstrike w:val="0"/>
        <w:outline w:val="0"/>
        <w:shadow w:val="0"/>
        <w:emboss w:val="0"/>
        <w:imprint w:val="0"/>
        <w:vanish w:val="0"/>
        <w:sz w:val="20"/>
        <w:vertAlign w:val="baseline"/>
      </w:rPr>
    </w:lvl>
    <w:lvl w:ilvl="1" w:tplc="E28CB6BC">
      <w:numFmt w:val="bullet"/>
      <w:lvlText w:val=""/>
      <w:lvlJc w:val="left"/>
      <w:pPr>
        <w:ind w:left="1296" w:hanging="360"/>
      </w:pPr>
      <w:rPr>
        <w:rFonts w:ascii="Symbol" w:eastAsia="Times New Roman" w:hAnsi="Symbol" w:cs="Courier New" w:hint="default"/>
      </w:rPr>
    </w:lvl>
    <w:lvl w:ilvl="2" w:tplc="0409001B">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42">
    <w:nsid w:val="701C3AD8"/>
    <w:multiLevelType w:val="hybridMultilevel"/>
    <w:tmpl w:val="648EF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24106F"/>
    <w:multiLevelType w:val="hybridMultilevel"/>
    <w:tmpl w:val="40209146"/>
    <w:lvl w:ilvl="0" w:tplc="F5AA2FE4">
      <w:start w:val="1"/>
      <w:numFmt w:val="lowerLetter"/>
      <w:lvlText w:val="%1)"/>
      <w:lvlJc w:val="left"/>
      <w:pPr>
        <w:ind w:left="360" w:hanging="360"/>
      </w:pPr>
      <w:rPr>
        <w:rFonts w:ascii="Calibri" w:hAnsi="Calibri" w:cs="Times New Roman" w:hint="default"/>
        <w:b w:val="0"/>
        <w:i w:val="0"/>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2E87827"/>
    <w:multiLevelType w:val="hybridMultilevel"/>
    <w:tmpl w:val="327AD87E"/>
    <w:lvl w:ilvl="0" w:tplc="FD28859A">
      <w:start w:val="1"/>
      <w:numFmt w:val="lowerLetter"/>
      <w:suff w:val="space"/>
      <w:lvlText w:val="%1)"/>
      <w:lvlJc w:val="left"/>
      <w:pPr>
        <w:ind w:left="259" w:hanging="259"/>
      </w:pPr>
      <w:rPr>
        <w:rFonts w:asciiTheme="minorHAnsi" w:hAnsiTheme="minorHAnsi" w:cs="Times New Roman" w:hint="default"/>
        <w:b w:val="0"/>
        <w:i w:val="0"/>
        <w:caps w:val="0"/>
        <w:strike w:val="0"/>
        <w:dstrike w:val="0"/>
        <w:outline w:val="0"/>
        <w:shadow w:val="0"/>
        <w:emboss w:val="0"/>
        <w:imprint w:val="0"/>
        <w:vanish w:val="0"/>
        <w:sz w:val="22"/>
        <w:szCs w:val="22"/>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3E32927"/>
    <w:multiLevelType w:val="hybridMultilevel"/>
    <w:tmpl w:val="8C2CD98A"/>
    <w:lvl w:ilvl="0" w:tplc="DFF0AED4">
      <w:start w:val="1"/>
      <w:numFmt w:val="lowerLetter"/>
      <w:lvlText w:val="%1)"/>
      <w:lvlJc w:val="left"/>
      <w:pPr>
        <w:ind w:left="360" w:hanging="360"/>
      </w:pPr>
      <w:rPr>
        <w:rFonts w:asciiTheme="minorHAnsi" w:hAnsiTheme="minorHAnsi" w:cs="Times New Roman" w:hint="default"/>
        <w:b w:val="0"/>
        <w:i w:val="0"/>
        <w:caps w:val="0"/>
        <w:strike w:val="0"/>
        <w:dstrike w:val="0"/>
        <w:outline w:val="0"/>
        <w:shadow w:val="0"/>
        <w:emboss w:val="0"/>
        <w:imprint w:val="0"/>
        <w:vanish w:val="0"/>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72D4B75"/>
    <w:multiLevelType w:val="hybridMultilevel"/>
    <w:tmpl w:val="08A85A68"/>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B47F5F"/>
    <w:multiLevelType w:val="hybridMultilevel"/>
    <w:tmpl w:val="8102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343E93"/>
    <w:multiLevelType w:val="hybridMultilevel"/>
    <w:tmpl w:val="48D0B4D0"/>
    <w:lvl w:ilvl="0" w:tplc="0D0CFB80">
      <w:start w:val="1"/>
      <w:numFmt w:val="lowerLetter"/>
      <w:suff w:val="space"/>
      <w:lvlText w:val="%1)"/>
      <w:lvlJc w:val="left"/>
      <w:pPr>
        <w:ind w:left="216" w:hanging="216"/>
      </w:pPr>
      <w:rPr>
        <w:rFonts w:asciiTheme="minorHAnsi" w:hAnsiTheme="minorHAnsi" w:cs="Times New Roman" w:hint="default"/>
        <w:b w:val="0"/>
        <w:i w:val="0"/>
        <w:caps w:val="0"/>
        <w:strike w:val="0"/>
        <w:dstrike w:val="0"/>
        <w:outline w:val="0"/>
        <w:shadow w:val="0"/>
        <w:emboss w:val="0"/>
        <w:imprint w:val="0"/>
        <w:vanish w:val="0"/>
        <w:sz w:val="22"/>
        <w:szCs w:val="22"/>
        <w:vertAlign w:val="base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7ECE0C01"/>
    <w:multiLevelType w:val="hybridMultilevel"/>
    <w:tmpl w:val="75A48DD8"/>
    <w:lvl w:ilvl="0" w:tplc="10025B62">
      <w:start w:val="1"/>
      <w:numFmt w:val="decimal"/>
      <w:lvlText w:val="%1."/>
      <w:lvlJc w:val="left"/>
      <w:pPr>
        <w:ind w:left="1080" w:hanging="720"/>
      </w:pPr>
      <w:rPr>
        <w:rFonts w:ascii="Calibri" w:eastAsia="Calibri" w:hAnsi="Calibri" w:cs="Calibri"/>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21"/>
  </w:num>
  <w:num w:numId="2">
    <w:abstractNumId w:val="34"/>
  </w:num>
  <w:num w:numId="3">
    <w:abstractNumId w:val="25"/>
  </w:num>
  <w:num w:numId="4">
    <w:abstractNumId w:val="13"/>
  </w:num>
  <w:num w:numId="5">
    <w:abstractNumId w:val="20"/>
  </w:num>
  <w:num w:numId="6">
    <w:abstractNumId w:val="48"/>
  </w:num>
  <w:num w:numId="7">
    <w:abstractNumId w:val="44"/>
  </w:num>
  <w:num w:numId="8">
    <w:abstractNumId w:val="40"/>
  </w:num>
  <w:num w:numId="9">
    <w:abstractNumId w:val="41"/>
  </w:num>
  <w:num w:numId="10">
    <w:abstractNumId w:val="14"/>
  </w:num>
  <w:num w:numId="11">
    <w:abstractNumId w:val="11"/>
  </w:num>
  <w:num w:numId="12">
    <w:abstractNumId w:val="10"/>
  </w:num>
  <w:num w:numId="13">
    <w:abstractNumId w:val="29"/>
  </w:num>
  <w:num w:numId="14">
    <w:abstractNumId w:val="43"/>
  </w:num>
  <w:num w:numId="15">
    <w:abstractNumId w:val="36"/>
  </w:num>
  <w:num w:numId="16">
    <w:abstractNumId w:val="18"/>
  </w:num>
  <w:num w:numId="17">
    <w:abstractNumId w:val="24"/>
  </w:num>
  <w:num w:numId="18">
    <w:abstractNumId w:val="22"/>
  </w:num>
  <w:num w:numId="19">
    <w:abstractNumId w:val="42"/>
  </w:num>
  <w:num w:numId="20">
    <w:abstractNumId w:val="19"/>
  </w:num>
  <w:num w:numId="21">
    <w:abstractNumId w:val="23"/>
  </w:num>
  <w:num w:numId="22">
    <w:abstractNumId w:val="45"/>
  </w:num>
  <w:num w:numId="23">
    <w:abstractNumId w:val="26"/>
  </w:num>
  <w:num w:numId="24">
    <w:abstractNumId w:val="37"/>
  </w:num>
  <w:num w:numId="25">
    <w:abstractNumId w:val="47"/>
  </w:num>
  <w:num w:numId="26">
    <w:abstractNumId w:val="32"/>
  </w:num>
  <w:num w:numId="27">
    <w:abstractNumId w:val="31"/>
  </w:num>
  <w:num w:numId="28">
    <w:abstractNumId w:val="28"/>
  </w:num>
  <w:num w:numId="29">
    <w:abstractNumId w:val="38"/>
  </w:num>
  <w:num w:numId="30">
    <w:abstractNumId w:val="35"/>
  </w:num>
  <w:num w:numId="31">
    <w:abstractNumId w:val="33"/>
  </w:num>
  <w:num w:numId="32">
    <w:abstractNumId w:val="12"/>
  </w:num>
  <w:num w:numId="33">
    <w:abstractNumId w:val="15"/>
  </w:num>
  <w:num w:numId="34">
    <w:abstractNumId w:val="17"/>
  </w:num>
  <w:num w:numId="35">
    <w:abstractNumId w:val="39"/>
  </w:num>
  <w:num w:numId="36">
    <w:abstractNumId w:val="46"/>
  </w:num>
  <w:num w:numId="37">
    <w:abstractNumId w:val="49"/>
  </w:num>
  <w:num w:numId="38">
    <w:abstractNumId w:val="30"/>
  </w:num>
  <w:num w:numId="39">
    <w:abstractNumId w:val="27"/>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437C05"/>
    <w:rsid w:val="0000422D"/>
    <w:rsid w:val="0000694A"/>
    <w:rsid w:val="000860AE"/>
    <w:rsid w:val="000A0D8F"/>
    <w:rsid w:val="000A1899"/>
    <w:rsid w:val="000A4D51"/>
    <w:rsid w:val="000B3D33"/>
    <w:rsid w:val="000C7561"/>
    <w:rsid w:val="000D2A4D"/>
    <w:rsid w:val="000F3FD4"/>
    <w:rsid w:val="001060A2"/>
    <w:rsid w:val="00106D56"/>
    <w:rsid w:val="00113E7D"/>
    <w:rsid w:val="00115CEB"/>
    <w:rsid w:val="00122D39"/>
    <w:rsid w:val="00124921"/>
    <w:rsid w:val="00125595"/>
    <w:rsid w:val="001325BD"/>
    <w:rsid w:val="001331FA"/>
    <w:rsid w:val="00137A08"/>
    <w:rsid w:val="00152CF2"/>
    <w:rsid w:val="00166470"/>
    <w:rsid w:val="001743D9"/>
    <w:rsid w:val="0018374C"/>
    <w:rsid w:val="0018730D"/>
    <w:rsid w:val="001A0E46"/>
    <w:rsid w:val="001B008E"/>
    <w:rsid w:val="001C2217"/>
    <w:rsid w:val="001C4809"/>
    <w:rsid w:val="001C48A3"/>
    <w:rsid w:val="001C4FB8"/>
    <w:rsid w:val="001D6473"/>
    <w:rsid w:val="001E0766"/>
    <w:rsid w:val="00202572"/>
    <w:rsid w:val="00202AFE"/>
    <w:rsid w:val="002051D6"/>
    <w:rsid w:val="0022379E"/>
    <w:rsid w:val="00226209"/>
    <w:rsid w:val="00262F02"/>
    <w:rsid w:val="0026745B"/>
    <w:rsid w:val="00274B13"/>
    <w:rsid w:val="002962D6"/>
    <w:rsid w:val="002A385B"/>
    <w:rsid w:val="002B405A"/>
    <w:rsid w:val="002B554C"/>
    <w:rsid w:val="002D5BC8"/>
    <w:rsid w:val="002E37EE"/>
    <w:rsid w:val="002E39DE"/>
    <w:rsid w:val="00300931"/>
    <w:rsid w:val="00302561"/>
    <w:rsid w:val="00310A52"/>
    <w:rsid w:val="00326CA6"/>
    <w:rsid w:val="00346053"/>
    <w:rsid w:val="00346B67"/>
    <w:rsid w:val="00354BD4"/>
    <w:rsid w:val="00374E6D"/>
    <w:rsid w:val="003768A8"/>
    <w:rsid w:val="00380BF5"/>
    <w:rsid w:val="003827EB"/>
    <w:rsid w:val="0039532B"/>
    <w:rsid w:val="003A1C92"/>
    <w:rsid w:val="003C05F3"/>
    <w:rsid w:val="003E3192"/>
    <w:rsid w:val="003E46A3"/>
    <w:rsid w:val="003E5160"/>
    <w:rsid w:val="0041048A"/>
    <w:rsid w:val="0043648F"/>
    <w:rsid w:val="004375DB"/>
    <w:rsid w:val="00437C05"/>
    <w:rsid w:val="0044646D"/>
    <w:rsid w:val="00491B0F"/>
    <w:rsid w:val="004A48B7"/>
    <w:rsid w:val="004B616A"/>
    <w:rsid w:val="004C5123"/>
    <w:rsid w:val="004C6A3E"/>
    <w:rsid w:val="004D1436"/>
    <w:rsid w:val="004D178A"/>
    <w:rsid w:val="00526D1F"/>
    <w:rsid w:val="00562CDC"/>
    <w:rsid w:val="0056365A"/>
    <w:rsid w:val="005916D1"/>
    <w:rsid w:val="0059171B"/>
    <w:rsid w:val="0059283E"/>
    <w:rsid w:val="005A0F37"/>
    <w:rsid w:val="005B5F36"/>
    <w:rsid w:val="005C5D32"/>
    <w:rsid w:val="005D610E"/>
    <w:rsid w:val="005D7AF3"/>
    <w:rsid w:val="005E17D2"/>
    <w:rsid w:val="005E1E12"/>
    <w:rsid w:val="005E5CE2"/>
    <w:rsid w:val="005F1EED"/>
    <w:rsid w:val="005F25DE"/>
    <w:rsid w:val="006109A1"/>
    <w:rsid w:val="0061420C"/>
    <w:rsid w:val="00614C4B"/>
    <w:rsid w:val="0062506A"/>
    <w:rsid w:val="006268C4"/>
    <w:rsid w:val="00634930"/>
    <w:rsid w:val="00652F94"/>
    <w:rsid w:val="006554C5"/>
    <w:rsid w:val="006570C9"/>
    <w:rsid w:val="006847D2"/>
    <w:rsid w:val="00691DF4"/>
    <w:rsid w:val="006A0705"/>
    <w:rsid w:val="006B1BD5"/>
    <w:rsid w:val="006B68DB"/>
    <w:rsid w:val="006D1DD5"/>
    <w:rsid w:val="006E1234"/>
    <w:rsid w:val="006E545D"/>
    <w:rsid w:val="006E7A52"/>
    <w:rsid w:val="00714451"/>
    <w:rsid w:val="00723D38"/>
    <w:rsid w:val="00727657"/>
    <w:rsid w:val="007438D5"/>
    <w:rsid w:val="00746BD8"/>
    <w:rsid w:val="00757EAD"/>
    <w:rsid w:val="007646C9"/>
    <w:rsid w:val="0076500E"/>
    <w:rsid w:val="00776008"/>
    <w:rsid w:val="007A1511"/>
    <w:rsid w:val="007A1A0F"/>
    <w:rsid w:val="007B4C72"/>
    <w:rsid w:val="007E1DE9"/>
    <w:rsid w:val="007E7463"/>
    <w:rsid w:val="007F2DDE"/>
    <w:rsid w:val="007F7360"/>
    <w:rsid w:val="008001BA"/>
    <w:rsid w:val="00807CB4"/>
    <w:rsid w:val="00811316"/>
    <w:rsid w:val="00821A27"/>
    <w:rsid w:val="00832E51"/>
    <w:rsid w:val="0083719D"/>
    <w:rsid w:val="00842424"/>
    <w:rsid w:val="008556BA"/>
    <w:rsid w:val="0087398C"/>
    <w:rsid w:val="008816D9"/>
    <w:rsid w:val="00883E9D"/>
    <w:rsid w:val="00890071"/>
    <w:rsid w:val="00891D4A"/>
    <w:rsid w:val="008A6EB5"/>
    <w:rsid w:val="008B0644"/>
    <w:rsid w:val="008C5F72"/>
    <w:rsid w:val="008D1D9F"/>
    <w:rsid w:val="008D7ABF"/>
    <w:rsid w:val="008E44E0"/>
    <w:rsid w:val="008E4748"/>
    <w:rsid w:val="008F3EC5"/>
    <w:rsid w:val="008F7CCB"/>
    <w:rsid w:val="00925241"/>
    <w:rsid w:val="00943C60"/>
    <w:rsid w:val="00951323"/>
    <w:rsid w:val="00962EA5"/>
    <w:rsid w:val="00974E59"/>
    <w:rsid w:val="009B43A4"/>
    <w:rsid w:val="009D73AE"/>
    <w:rsid w:val="009E45E6"/>
    <w:rsid w:val="009F252A"/>
    <w:rsid w:val="00A3772D"/>
    <w:rsid w:val="00A42ADA"/>
    <w:rsid w:val="00A61380"/>
    <w:rsid w:val="00A619A6"/>
    <w:rsid w:val="00A734DE"/>
    <w:rsid w:val="00A963C2"/>
    <w:rsid w:val="00AB3F81"/>
    <w:rsid w:val="00AC2366"/>
    <w:rsid w:val="00AD1541"/>
    <w:rsid w:val="00AD18DD"/>
    <w:rsid w:val="00AD24EF"/>
    <w:rsid w:val="00AE6571"/>
    <w:rsid w:val="00AE75D4"/>
    <w:rsid w:val="00AF099D"/>
    <w:rsid w:val="00B16CA6"/>
    <w:rsid w:val="00B174D0"/>
    <w:rsid w:val="00B22791"/>
    <w:rsid w:val="00B32CAA"/>
    <w:rsid w:val="00B35A12"/>
    <w:rsid w:val="00B537E1"/>
    <w:rsid w:val="00B602ED"/>
    <w:rsid w:val="00B73A83"/>
    <w:rsid w:val="00B802CD"/>
    <w:rsid w:val="00BA2F04"/>
    <w:rsid w:val="00BA4C3E"/>
    <w:rsid w:val="00BB22D3"/>
    <w:rsid w:val="00BC52BE"/>
    <w:rsid w:val="00BD30EA"/>
    <w:rsid w:val="00BD3C14"/>
    <w:rsid w:val="00BF3B5E"/>
    <w:rsid w:val="00BF6F4C"/>
    <w:rsid w:val="00C00414"/>
    <w:rsid w:val="00C069F0"/>
    <w:rsid w:val="00C06CCA"/>
    <w:rsid w:val="00C41179"/>
    <w:rsid w:val="00C71EBF"/>
    <w:rsid w:val="00C7588B"/>
    <w:rsid w:val="00C77E3B"/>
    <w:rsid w:val="00C97871"/>
    <w:rsid w:val="00CA3B2E"/>
    <w:rsid w:val="00CB23DC"/>
    <w:rsid w:val="00CB6644"/>
    <w:rsid w:val="00CD1842"/>
    <w:rsid w:val="00CD1F2B"/>
    <w:rsid w:val="00CD5646"/>
    <w:rsid w:val="00CD7B01"/>
    <w:rsid w:val="00D02C3F"/>
    <w:rsid w:val="00D2064D"/>
    <w:rsid w:val="00D42E9E"/>
    <w:rsid w:val="00D55887"/>
    <w:rsid w:val="00D56428"/>
    <w:rsid w:val="00D75006"/>
    <w:rsid w:val="00D81324"/>
    <w:rsid w:val="00DB44D8"/>
    <w:rsid w:val="00DC1DA3"/>
    <w:rsid w:val="00DD2517"/>
    <w:rsid w:val="00DD669D"/>
    <w:rsid w:val="00DE147C"/>
    <w:rsid w:val="00DE3538"/>
    <w:rsid w:val="00DE5D98"/>
    <w:rsid w:val="00E00EFD"/>
    <w:rsid w:val="00E117F3"/>
    <w:rsid w:val="00E32AB5"/>
    <w:rsid w:val="00E334C9"/>
    <w:rsid w:val="00E34C1E"/>
    <w:rsid w:val="00E42214"/>
    <w:rsid w:val="00E443B7"/>
    <w:rsid w:val="00E52C64"/>
    <w:rsid w:val="00E54FA3"/>
    <w:rsid w:val="00E7075E"/>
    <w:rsid w:val="00E7641E"/>
    <w:rsid w:val="00E8155D"/>
    <w:rsid w:val="00EA49A1"/>
    <w:rsid w:val="00EC0E4D"/>
    <w:rsid w:val="00EF6238"/>
    <w:rsid w:val="00EF7957"/>
    <w:rsid w:val="00F14F3F"/>
    <w:rsid w:val="00F1536F"/>
    <w:rsid w:val="00F432EF"/>
    <w:rsid w:val="00F52C42"/>
    <w:rsid w:val="00FA4329"/>
    <w:rsid w:val="00FA4E69"/>
    <w:rsid w:val="00FA5F2E"/>
    <w:rsid w:val="00FB125B"/>
    <w:rsid w:val="00FB17A1"/>
    <w:rsid w:val="00FB3A7F"/>
    <w:rsid w:val="00FB53C1"/>
    <w:rsid w:val="00FC7751"/>
    <w:rsid w:val="00FD2B76"/>
    <w:rsid w:val="00FD40E0"/>
    <w:rsid w:val="00FE33BC"/>
    <w:rsid w:val="00FE4E77"/>
    <w:rsid w:val="00FF1E87"/>
    <w:rsid w:val="00FF4F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qFormat="1"/>
  </w:latentStyles>
  <w:style w:type="paragraph" w:default="1" w:styleId="Normal">
    <w:name w:val="Normal"/>
    <w:qFormat/>
    <w:rsid w:val="00437C05"/>
    <w:pPr>
      <w:spacing w:after="0" w:line="240" w:lineRule="auto"/>
    </w:pPr>
    <w:rPr>
      <w:rFonts w:ascii="Times New Roman" w:eastAsia="Times New Roman" w:hAnsi="Times New Roman" w:cs="Times New Roman"/>
      <w:sz w:val="24"/>
      <w:szCs w:val="24"/>
      <w:lang w:val="en-ZA" w:eastAsia="en-ZA"/>
    </w:rPr>
  </w:style>
  <w:style w:type="paragraph" w:styleId="Heading1">
    <w:name w:val="heading 1"/>
    <w:basedOn w:val="Heading2"/>
    <w:next w:val="BodyText"/>
    <w:link w:val="Heading1Char"/>
    <w:uiPriority w:val="99"/>
    <w:qFormat/>
    <w:rsid w:val="00437C05"/>
    <w:pPr>
      <w:pageBreakBefore/>
      <w:numPr>
        <w:ilvl w:val="0"/>
      </w:numPr>
      <w:spacing w:before="0" w:line="360" w:lineRule="atLeast"/>
      <w:outlineLvl w:val="0"/>
    </w:pPr>
    <w:rPr>
      <w:sz w:val="32"/>
    </w:rPr>
  </w:style>
  <w:style w:type="paragraph" w:styleId="Heading2">
    <w:name w:val="heading 2"/>
    <w:basedOn w:val="BodyText"/>
    <w:next w:val="BodyText"/>
    <w:link w:val="Heading2Char"/>
    <w:uiPriority w:val="99"/>
    <w:qFormat/>
    <w:rsid w:val="00437C05"/>
    <w:pPr>
      <w:keepNext/>
      <w:numPr>
        <w:ilvl w:val="1"/>
        <w:numId w:val="1"/>
      </w:numPr>
      <w:spacing w:before="400" w:after="0" w:line="320" w:lineRule="exact"/>
      <w:jc w:val="left"/>
      <w:outlineLvl w:val="1"/>
    </w:pPr>
    <w:rPr>
      <w:b/>
      <w:color w:val="000080"/>
      <w:sz w:val="28"/>
    </w:rPr>
  </w:style>
  <w:style w:type="paragraph" w:styleId="Heading3">
    <w:name w:val="heading 3"/>
    <w:basedOn w:val="Heading4"/>
    <w:next w:val="BodyText"/>
    <w:link w:val="Heading3Char"/>
    <w:uiPriority w:val="99"/>
    <w:qFormat/>
    <w:rsid w:val="00437C05"/>
    <w:pPr>
      <w:numPr>
        <w:ilvl w:val="2"/>
      </w:numPr>
      <w:outlineLvl w:val="2"/>
    </w:pPr>
    <w:rPr>
      <w:i w:val="0"/>
    </w:rPr>
  </w:style>
  <w:style w:type="paragraph" w:styleId="Heading4">
    <w:name w:val="heading 4"/>
    <w:basedOn w:val="Heading5"/>
    <w:next w:val="BodyText"/>
    <w:link w:val="Heading4Char"/>
    <w:uiPriority w:val="99"/>
    <w:qFormat/>
    <w:rsid w:val="00437C05"/>
    <w:pPr>
      <w:keepLines w:val="0"/>
      <w:numPr>
        <w:ilvl w:val="3"/>
        <w:numId w:val="1"/>
      </w:numPr>
      <w:tabs>
        <w:tab w:val="clear" w:pos="20"/>
        <w:tab w:val="left" w:pos="0"/>
      </w:tabs>
      <w:spacing w:before="400" w:line="280" w:lineRule="exact"/>
      <w:outlineLvl w:val="3"/>
    </w:pPr>
    <w:rPr>
      <w:rFonts w:ascii="Times New Roman" w:eastAsia="Times New Roman" w:hAnsi="Times New Roman" w:cs="Times New Roman"/>
      <w:b/>
      <w:i/>
      <w:color w:val="000080"/>
      <w:lang w:val="en-US" w:eastAsia="en-US"/>
    </w:rPr>
  </w:style>
  <w:style w:type="paragraph" w:styleId="Heading5">
    <w:name w:val="heading 5"/>
    <w:basedOn w:val="Normal"/>
    <w:next w:val="Normal"/>
    <w:link w:val="Heading5Char"/>
    <w:uiPriority w:val="9"/>
    <w:semiHidden/>
    <w:unhideWhenUsed/>
    <w:qFormat/>
    <w:rsid w:val="00437C0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7C05"/>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uiPriority w:val="99"/>
    <w:rsid w:val="00437C05"/>
    <w:rPr>
      <w:rFonts w:ascii="Times New Roman" w:eastAsia="Times New Roman" w:hAnsi="Times New Roman" w:cs="Times New Roman"/>
      <w:b/>
      <w:color w:val="000080"/>
      <w:sz w:val="28"/>
      <w:szCs w:val="24"/>
    </w:rPr>
  </w:style>
  <w:style w:type="character" w:customStyle="1" w:styleId="Heading3Char">
    <w:name w:val="Heading 3 Char"/>
    <w:basedOn w:val="DefaultParagraphFont"/>
    <w:link w:val="Heading3"/>
    <w:uiPriority w:val="99"/>
    <w:rsid w:val="00437C05"/>
    <w:rPr>
      <w:rFonts w:ascii="Times New Roman" w:eastAsia="Times New Roman" w:hAnsi="Times New Roman" w:cs="Times New Roman"/>
      <w:b/>
      <w:color w:val="000080"/>
      <w:sz w:val="24"/>
      <w:szCs w:val="24"/>
    </w:rPr>
  </w:style>
  <w:style w:type="character" w:customStyle="1" w:styleId="Heading4Char">
    <w:name w:val="Heading 4 Char"/>
    <w:basedOn w:val="DefaultParagraphFont"/>
    <w:link w:val="Heading4"/>
    <w:uiPriority w:val="99"/>
    <w:rsid w:val="00437C05"/>
    <w:rPr>
      <w:rFonts w:ascii="Times New Roman" w:eastAsia="Times New Roman" w:hAnsi="Times New Roman" w:cs="Times New Roman"/>
      <w:b/>
      <w:i/>
      <w:color w:val="000080"/>
      <w:sz w:val="24"/>
      <w:szCs w:val="24"/>
    </w:rPr>
  </w:style>
  <w:style w:type="paragraph" w:styleId="BodyText">
    <w:name w:val="Body Text"/>
    <w:basedOn w:val="Normal"/>
    <w:link w:val="BodyTextChar"/>
    <w:uiPriority w:val="99"/>
    <w:rsid w:val="00437C05"/>
    <w:pPr>
      <w:spacing w:before="130" w:after="130" w:line="260" w:lineRule="atLeast"/>
      <w:jc w:val="both"/>
    </w:pPr>
    <w:rPr>
      <w:sz w:val="22"/>
      <w:lang w:val="en-US" w:eastAsia="en-US"/>
    </w:rPr>
  </w:style>
  <w:style w:type="character" w:customStyle="1" w:styleId="BodyTextChar">
    <w:name w:val="Body Text Char"/>
    <w:basedOn w:val="DefaultParagraphFont"/>
    <w:link w:val="BodyText"/>
    <w:uiPriority w:val="99"/>
    <w:rsid w:val="00437C05"/>
    <w:rPr>
      <w:rFonts w:ascii="Times New Roman" w:eastAsia="Times New Roman" w:hAnsi="Times New Roman" w:cs="Times New Roman"/>
      <w:szCs w:val="24"/>
    </w:rPr>
  </w:style>
  <w:style w:type="paragraph" w:styleId="ListParagraph">
    <w:name w:val="List Paragraph"/>
    <w:basedOn w:val="Normal"/>
    <w:qFormat/>
    <w:rsid w:val="00437C05"/>
    <w:pPr>
      <w:ind w:left="720"/>
    </w:pPr>
  </w:style>
  <w:style w:type="paragraph" w:styleId="Header">
    <w:name w:val="header"/>
    <w:basedOn w:val="Normal"/>
    <w:link w:val="HeaderChar"/>
    <w:uiPriority w:val="99"/>
    <w:rsid w:val="00437C05"/>
    <w:pPr>
      <w:tabs>
        <w:tab w:val="center" w:pos="4680"/>
        <w:tab w:val="right" w:pos="9360"/>
      </w:tabs>
    </w:pPr>
  </w:style>
  <w:style w:type="character" w:customStyle="1" w:styleId="HeaderChar">
    <w:name w:val="Header Char"/>
    <w:basedOn w:val="DefaultParagraphFont"/>
    <w:link w:val="Header"/>
    <w:uiPriority w:val="99"/>
    <w:rsid w:val="00437C05"/>
    <w:rPr>
      <w:rFonts w:ascii="Times New Roman" w:eastAsia="Times New Roman" w:hAnsi="Times New Roman" w:cs="Times New Roman"/>
      <w:sz w:val="24"/>
      <w:szCs w:val="24"/>
      <w:lang w:val="en-ZA" w:eastAsia="en-ZA"/>
    </w:rPr>
  </w:style>
  <w:style w:type="paragraph" w:styleId="FootnoteText">
    <w:name w:val="footnote text"/>
    <w:basedOn w:val="Normal"/>
    <w:link w:val="FootnoteTextChar"/>
    <w:uiPriority w:val="99"/>
    <w:semiHidden/>
    <w:unhideWhenUsed/>
    <w:rsid w:val="00437C05"/>
    <w:rPr>
      <w:sz w:val="20"/>
      <w:szCs w:val="20"/>
    </w:rPr>
  </w:style>
  <w:style w:type="character" w:customStyle="1" w:styleId="FootnoteTextChar">
    <w:name w:val="Footnote Text Char"/>
    <w:basedOn w:val="DefaultParagraphFont"/>
    <w:link w:val="FootnoteText"/>
    <w:uiPriority w:val="99"/>
    <w:semiHidden/>
    <w:rsid w:val="00437C05"/>
    <w:rPr>
      <w:rFonts w:ascii="Times New Roman" w:eastAsia="Times New Roman" w:hAnsi="Times New Roman" w:cs="Times New Roman"/>
      <w:sz w:val="20"/>
      <w:szCs w:val="20"/>
      <w:lang w:val="en-ZA" w:eastAsia="en-ZA"/>
    </w:rPr>
  </w:style>
  <w:style w:type="character" w:styleId="FootnoteReference">
    <w:name w:val="footnote reference"/>
    <w:basedOn w:val="DefaultParagraphFont"/>
    <w:uiPriority w:val="99"/>
    <w:semiHidden/>
    <w:unhideWhenUsed/>
    <w:rsid w:val="00437C05"/>
    <w:rPr>
      <w:vertAlign w:val="superscript"/>
    </w:rPr>
  </w:style>
  <w:style w:type="character" w:customStyle="1" w:styleId="Heading5Char">
    <w:name w:val="Heading 5 Char"/>
    <w:basedOn w:val="DefaultParagraphFont"/>
    <w:link w:val="Heading5"/>
    <w:uiPriority w:val="9"/>
    <w:semiHidden/>
    <w:rsid w:val="00437C05"/>
    <w:rPr>
      <w:rFonts w:asciiTheme="majorHAnsi" w:eastAsiaTheme="majorEastAsia" w:hAnsiTheme="majorHAnsi" w:cstheme="majorBidi"/>
      <w:color w:val="243F60" w:themeColor="accent1" w:themeShade="7F"/>
      <w:sz w:val="24"/>
      <w:szCs w:val="24"/>
      <w:lang w:val="en-ZA" w:eastAsia="en-ZA"/>
    </w:rPr>
  </w:style>
  <w:style w:type="paragraph" w:styleId="Footer">
    <w:name w:val="footer"/>
    <w:basedOn w:val="Normal"/>
    <w:link w:val="FooterChar"/>
    <w:uiPriority w:val="99"/>
    <w:semiHidden/>
    <w:unhideWhenUsed/>
    <w:rsid w:val="00D56428"/>
    <w:pPr>
      <w:tabs>
        <w:tab w:val="center" w:pos="4680"/>
        <w:tab w:val="right" w:pos="9360"/>
      </w:tabs>
    </w:pPr>
  </w:style>
  <w:style w:type="character" w:customStyle="1" w:styleId="FooterChar">
    <w:name w:val="Footer Char"/>
    <w:basedOn w:val="DefaultParagraphFont"/>
    <w:link w:val="Footer"/>
    <w:uiPriority w:val="99"/>
    <w:semiHidden/>
    <w:rsid w:val="00D56428"/>
    <w:rPr>
      <w:rFonts w:ascii="Times New Roman" w:eastAsia="Times New Roman" w:hAnsi="Times New Roman" w:cs="Times New Roman"/>
      <w:sz w:val="24"/>
      <w:szCs w:val="24"/>
      <w:lang w:val="en-ZA" w:eastAsia="en-ZA"/>
    </w:rPr>
  </w:style>
  <w:style w:type="character" w:styleId="CommentReference">
    <w:name w:val="annotation reference"/>
    <w:basedOn w:val="DefaultParagraphFont"/>
    <w:semiHidden/>
    <w:rsid w:val="00166470"/>
    <w:rPr>
      <w:sz w:val="16"/>
      <w:szCs w:val="16"/>
    </w:rPr>
  </w:style>
  <w:style w:type="paragraph" w:styleId="CommentText">
    <w:name w:val="annotation text"/>
    <w:basedOn w:val="Normal"/>
    <w:link w:val="CommentTextChar"/>
    <w:semiHidden/>
    <w:rsid w:val="00166470"/>
    <w:rPr>
      <w:sz w:val="20"/>
      <w:szCs w:val="20"/>
      <w:lang w:val="en-GB" w:eastAsia="en-GB"/>
    </w:rPr>
  </w:style>
  <w:style w:type="character" w:customStyle="1" w:styleId="CommentTextChar">
    <w:name w:val="Comment Text Char"/>
    <w:basedOn w:val="DefaultParagraphFont"/>
    <w:link w:val="CommentText"/>
    <w:semiHidden/>
    <w:rsid w:val="00166470"/>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166470"/>
    <w:rPr>
      <w:rFonts w:ascii="Tahoma" w:hAnsi="Tahoma" w:cs="Tahoma"/>
      <w:sz w:val="16"/>
      <w:szCs w:val="16"/>
    </w:rPr>
  </w:style>
  <w:style w:type="character" w:customStyle="1" w:styleId="BalloonTextChar">
    <w:name w:val="Balloon Text Char"/>
    <w:basedOn w:val="DefaultParagraphFont"/>
    <w:link w:val="BalloonText"/>
    <w:uiPriority w:val="99"/>
    <w:semiHidden/>
    <w:rsid w:val="00166470"/>
    <w:rPr>
      <w:rFonts w:ascii="Tahoma" w:eastAsia="Times New Roman" w:hAnsi="Tahoma" w:cs="Tahoma"/>
      <w:sz w:val="16"/>
      <w:szCs w:val="16"/>
      <w:lang w:val="en-ZA" w:eastAsia="en-ZA"/>
    </w:rPr>
  </w:style>
  <w:style w:type="table" w:styleId="TableGrid">
    <w:name w:val="Table Grid"/>
    <w:basedOn w:val="TableNormal"/>
    <w:uiPriority w:val="59"/>
    <w:rsid w:val="00E422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C77E3B"/>
    <w:rPr>
      <w:rFonts w:ascii="Courier New" w:hAnsi="Courier New"/>
      <w:sz w:val="20"/>
      <w:szCs w:val="20"/>
      <w:lang w:val="en-GB" w:eastAsia="en-US"/>
    </w:rPr>
  </w:style>
  <w:style w:type="character" w:customStyle="1" w:styleId="PlainTextChar">
    <w:name w:val="Plain Text Char"/>
    <w:basedOn w:val="DefaultParagraphFont"/>
    <w:link w:val="PlainText"/>
    <w:rsid w:val="00C77E3B"/>
    <w:rPr>
      <w:rFonts w:ascii="Courier New" w:eastAsia="Times New Roman" w:hAnsi="Courier New"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D757-1BB3-4070-BF75-FBE67B7C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 Reddy</dc:creator>
  <cp:keywords/>
  <dc:description/>
  <cp:lastModifiedBy> </cp:lastModifiedBy>
  <cp:revision>11</cp:revision>
  <cp:lastPrinted>2010-11-04T08:45:00Z</cp:lastPrinted>
  <dcterms:created xsi:type="dcterms:W3CDTF">2010-11-18T09:09:00Z</dcterms:created>
  <dcterms:modified xsi:type="dcterms:W3CDTF">2010-11-24T13:00:00Z</dcterms:modified>
</cp:coreProperties>
</file>